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1" w:rsidRPr="002038DC" w:rsidRDefault="00C10B31"/>
    <w:tbl>
      <w:tblPr>
        <w:tblW w:w="14400" w:type="dxa"/>
        <w:tblLayout w:type="fixed"/>
        <w:tblCellMar>
          <w:left w:w="70" w:type="dxa"/>
          <w:right w:w="70" w:type="dxa"/>
        </w:tblCellMar>
        <w:tblLook w:val="0000" w:firstRow="0" w:lastRow="0" w:firstColumn="0" w:lastColumn="0" w:noHBand="0" w:noVBand="0"/>
      </w:tblPr>
      <w:tblGrid>
        <w:gridCol w:w="5102"/>
        <w:gridCol w:w="4649"/>
        <w:gridCol w:w="4649"/>
      </w:tblGrid>
      <w:tr w:rsidR="00F92824" w:rsidRPr="002038DC" w:rsidTr="00F92824">
        <w:trPr>
          <w:trHeight w:hRule="exact" w:val="3261"/>
        </w:trPr>
        <w:tc>
          <w:tcPr>
            <w:tcW w:w="5102" w:type="dxa"/>
          </w:tcPr>
          <w:p w:rsidR="00F92824" w:rsidRDefault="00F92824" w:rsidP="00C10B31">
            <w:pPr>
              <w:tabs>
                <w:tab w:val="center" w:pos="2481"/>
              </w:tabs>
              <w:ind w:right="-1"/>
              <w:rPr>
                <w:sz w:val="32"/>
                <w:szCs w:val="32"/>
                <w:lang w:val="pt-BR"/>
              </w:rPr>
            </w:pPr>
          </w:p>
          <w:p w:rsidR="00F92824" w:rsidRDefault="00F92824" w:rsidP="00C10B31">
            <w:pPr>
              <w:tabs>
                <w:tab w:val="center" w:pos="2481"/>
              </w:tabs>
              <w:ind w:right="-1"/>
              <w:rPr>
                <w:sz w:val="32"/>
                <w:szCs w:val="32"/>
                <w:lang w:val="pt-BR"/>
              </w:rPr>
            </w:pPr>
          </w:p>
          <w:p w:rsidR="00F92824" w:rsidRPr="002038DC" w:rsidRDefault="00F92824" w:rsidP="00F0083F">
            <w:pPr>
              <w:ind w:right="-1"/>
              <w:rPr>
                <w:szCs w:val="22"/>
                <w:lang w:val="pt-BR"/>
              </w:rPr>
            </w:pPr>
            <w:r w:rsidRPr="007A42F4">
              <w:rPr>
                <w:sz w:val="24"/>
                <w:szCs w:val="24"/>
                <w:lang w:val="fi-FI"/>
              </w:rPr>
              <w:t>European Banking Authority (EBA)</w:t>
            </w:r>
          </w:p>
          <w:p w:rsidR="00F92824" w:rsidRPr="002038DC" w:rsidRDefault="00F92824" w:rsidP="00450541">
            <w:pPr>
              <w:tabs>
                <w:tab w:val="center" w:pos="2481"/>
              </w:tabs>
              <w:ind w:right="-1"/>
              <w:rPr>
                <w:b/>
                <w:szCs w:val="22"/>
                <w:lang w:val="pt-BR"/>
              </w:rPr>
            </w:pPr>
          </w:p>
        </w:tc>
        <w:tc>
          <w:tcPr>
            <w:tcW w:w="4649" w:type="dxa"/>
          </w:tcPr>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F92824" w:rsidRPr="00D364F4" w:rsidRDefault="00F92824" w:rsidP="00551EFB">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F92824" w:rsidRPr="00D364F4" w:rsidRDefault="00F92824" w:rsidP="00551EFB">
            <w:pPr>
              <w:spacing w:line="260" w:lineRule="atLeast"/>
              <w:jc w:val="right"/>
              <w:rPr>
                <w:color w:val="000000"/>
                <w:sz w:val="18"/>
                <w:szCs w:val="18"/>
              </w:rPr>
            </w:pPr>
            <w:r w:rsidRPr="00D364F4">
              <w:rPr>
                <w:noProof/>
                <w:color w:val="000000"/>
                <w:sz w:val="18"/>
                <w:szCs w:val="18"/>
              </w:rPr>
              <w:t>Wiedner Hauptstraße 63 | P.O. Box 320</w:t>
            </w:r>
          </w:p>
          <w:p w:rsidR="00F92824" w:rsidRPr="00D364F4" w:rsidRDefault="00F92824" w:rsidP="00551EFB">
            <w:pPr>
              <w:spacing w:line="260" w:lineRule="atLeast"/>
              <w:jc w:val="right"/>
              <w:rPr>
                <w:color w:val="000000"/>
                <w:sz w:val="18"/>
                <w:szCs w:val="18"/>
              </w:rPr>
            </w:pPr>
            <w:r w:rsidRPr="00D364F4">
              <w:rPr>
                <w:noProof/>
                <w:color w:val="000000"/>
                <w:sz w:val="18"/>
                <w:szCs w:val="18"/>
              </w:rPr>
              <w:t>1045 Vienna</w:t>
            </w:r>
          </w:p>
          <w:p w:rsidR="00F92824" w:rsidRPr="00D364F4" w:rsidRDefault="00F92824" w:rsidP="00551EFB">
            <w:pPr>
              <w:spacing w:line="260" w:lineRule="atLeast"/>
              <w:jc w:val="right"/>
              <w:rPr>
                <w:color w:val="000000"/>
                <w:sz w:val="18"/>
                <w:szCs w:val="18"/>
              </w:rPr>
            </w:pPr>
            <w:r w:rsidRPr="00D364F4">
              <w:rPr>
                <w:noProof/>
                <w:color w:val="000000"/>
                <w:sz w:val="18"/>
                <w:szCs w:val="18"/>
              </w:rPr>
              <w:t>T +43 (0)5 90 900-DW | F +43 (0)5 90 900-272</w:t>
            </w:r>
          </w:p>
          <w:p w:rsidR="00F92824" w:rsidRPr="00D364F4" w:rsidRDefault="00F92824" w:rsidP="00551EFB">
            <w:pPr>
              <w:spacing w:line="260" w:lineRule="atLeast"/>
              <w:jc w:val="right"/>
              <w:rPr>
                <w:color w:val="000000"/>
                <w:sz w:val="18"/>
                <w:szCs w:val="18"/>
              </w:rPr>
            </w:pPr>
            <w:r w:rsidRPr="00D364F4">
              <w:rPr>
                <w:noProof/>
                <w:color w:val="000000"/>
                <w:sz w:val="18"/>
                <w:szCs w:val="18"/>
              </w:rPr>
              <w:t>E  bsbv@wko.at</w:t>
            </w:r>
          </w:p>
          <w:p w:rsidR="00F92824" w:rsidRPr="00D364F4" w:rsidRDefault="00F92824" w:rsidP="00551EFB">
            <w:pPr>
              <w:spacing w:line="260" w:lineRule="atLeast"/>
              <w:jc w:val="right"/>
              <w:rPr>
                <w:lang w:val="en-GB"/>
              </w:rPr>
            </w:pPr>
            <w:r w:rsidRPr="00D364F4">
              <w:rPr>
                <w:noProof/>
                <w:color w:val="000000"/>
                <w:sz w:val="18"/>
                <w:szCs w:val="18"/>
                <w:lang w:val="en-GB"/>
              </w:rPr>
              <w:t>W  http://wko.at/bsbv</w:t>
            </w:r>
          </w:p>
        </w:tc>
        <w:tc>
          <w:tcPr>
            <w:tcW w:w="4649" w:type="dxa"/>
          </w:tcPr>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60" w:lineRule="atLeast"/>
              <w:ind w:right="255"/>
              <w:jc w:val="right"/>
              <w:rPr>
                <w:b/>
                <w:snapToGrid w:val="0"/>
                <w:color w:val="000000"/>
                <w:sz w:val="18"/>
                <w:szCs w:val="18"/>
                <w:u w:color="000000"/>
              </w:rPr>
            </w:pPr>
            <w:r w:rsidRPr="002038DC">
              <w:rPr>
                <w:b/>
                <w:snapToGrid w:val="0"/>
                <w:color w:val="000000"/>
                <w:sz w:val="18"/>
                <w:szCs w:val="18"/>
                <w:u w:color="000000"/>
              </w:rPr>
              <w:t>Bundessparte Bank und Versicherung</w:t>
            </w:r>
            <w:bookmarkStart w:id="0" w:name="abs1"/>
            <w:bookmarkEnd w:id="0"/>
          </w:p>
          <w:p w:rsidR="00F92824" w:rsidRPr="002038DC" w:rsidRDefault="00F92824" w:rsidP="00F0083F">
            <w:pPr>
              <w:spacing w:line="260" w:lineRule="atLeast"/>
              <w:ind w:right="255"/>
              <w:jc w:val="right"/>
              <w:rPr>
                <w:b/>
                <w:snapToGrid w:val="0"/>
                <w:color w:val="000000"/>
                <w:sz w:val="18"/>
                <w:szCs w:val="18"/>
                <w:u w:color="000000"/>
              </w:rPr>
            </w:pPr>
            <w:r w:rsidRPr="002038DC">
              <w:rPr>
                <w:b/>
                <w:snapToGrid w:val="0"/>
                <w:color w:val="000000"/>
                <w:sz w:val="18"/>
                <w:szCs w:val="18"/>
                <w:u w:color="000000"/>
              </w:rPr>
              <w:t>Wirtschaftskammer Österreich</w:t>
            </w:r>
          </w:p>
          <w:p w:rsidR="00F92824" w:rsidRPr="002038DC" w:rsidRDefault="00F92824" w:rsidP="00F0083F">
            <w:pPr>
              <w:spacing w:line="260" w:lineRule="atLeast"/>
              <w:ind w:right="255"/>
              <w:jc w:val="right"/>
              <w:rPr>
                <w:snapToGrid w:val="0"/>
                <w:color w:val="000000"/>
                <w:sz w:val="18"/>
                <w:szCs w:val="18"/>
                <w:u w:color="000000"/>
              </w:rPr>
            </w:pPr>
            <w:proofErr w:type="spellStart"/>
            <w:r w:rsidRPr="002038DC">
              <w:rPr>
                <w:snapToGrid w:val="0"/>
                <w:color w:val="000000"/>
                <w:sz w:val="18"/>
                <w:szCs w:val="18"/>
                <w:u w:color="000000"/>
              </w:rPr>
              <w:t>Wiedner</w:t>
            </w:r>
            <w:proofErr w:type="spellEnd"/>
            <w:r w:rsidRPr="002038DC">
              <w:rPr>
                <w:snapToGrid w:val="0"/>
                <w:color w:val="000000"/>
                <w:sz w:val="18"/>
                <w:szCs w:val="18"/>
                <w:u w:color="000000"/>
              </w:rPr>
              <w:t xml:space="preserve"> Hauptstraße 63 | Postfach 320</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1045 Wien</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T +43 (0)5 90 900-DW | F +43 (0)5 90 900-272</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E  bsbv@wko.at</w:t>
            </w:r>
          </w:p>
          <w:p w:rsidR="00F92824" w:rsidRPr="008E69FC" w:rsidRDefault="00F92824" w:rsidP="00F0083F">
            <w:pPr>
              <w:spacing w:line="260" w:lineRule="atLeast"/>
              <w:ind w:right="255"/>
              <w:jc w:val="right"/>
              <w:rPr>
                <w:lang w:val="de-AT"/>
              </w:rPr>
            </w:pPr>
            <w:r w:rsidRPr="008E69FC">
              <w:rPr>
                <w:snapToGrid w:val="0"/>
                <w:color w:val="000000"/>
                <w:sz w:val="18"/>
                <w:szCs w:val="18"/>
                <w:u w:color="000000"/>
                <w:lang w:val="de-AT"/>
              </w:rPr>
              <w:t>W  http://wko.at/bsbv</w:t>
            </w:r>
          </w:p>
        </w:tc>
      </w:tr>
    </w:tbl>
    <w:p w:rsidR="00C10B31" w:rsidRPr="00945373" w:rsidRDefault="00C10B31" w:rsidP="00F0083F">
      <w:pPr>
        <w:spacing w:line="240" w:lineRule="auto"/>
        <w:ind w:right="-1"/>
        <w:rPr>
          <w:snapToGrid w:val="0"/>
          <w:color w:val="000000"/>
          <w:sz w:val="24"/>
          <w:szCs w:val="24"/>
          <w:u w:color="000000"/>
        </w:rPr>
      </w:pPr>
    </w:p>
    <w:p w:rsidR="00237B76" w:rsidRDefault="00237B76" w:rsidP="00237B76">
      <w:pPr>
        <w:tabs>
          <w:tab w:val="left" w:pos="2977"/>
          <w:tab w:val="left" w:pos="5954"/>
          <w:tab w:val="left" w:pos="7655"/>
          <w:tab w:val="left" w:pos="8364"/>
        </w:tabs>
        <w:ind w:right="-1"/>
        <w:rPr>
          <w:sz w:val="16"/>
        </w:rPr>
      </w:pPr>
      <w:r>
        <w:rPr>
          <w:sz w:val="16"/>
        </w:rPr>
        <w:t>Ihr Zeichen, Ihre Nachricht vom</w:t>
      </w:r>
      <w:r>
        <w:rPr>
          <w:sz w:val="16"/>
        </w:rPr>
        <w:tab/>
        <w:t>Unser Zeichen, Sacharbeiter</w:t>
      </w:r>
      <w:r>
        <w:rPr>
          <w:sz w:val="16"/>
        </w:rPr>
        <w:tab/>
        <w:t>Durchwahl</w:t>
      </w:r>
      <w:r>
        <w:rPr>
          <w:sz w:val="16"/>
        </w:rPr>
        <w:tab/>
        <w:t>Datum</w:t>
      </w:r>
    </w:p>
    <w:p w:rsidR="00237B76" w:rsidRDefault="00237B76" w:rsidP="00AD62C1">
      <w:pPr>
        <w:tabs>
          <w:tab w:val="left" w:pos="2977"/>
          <w:tab w:val="left" w:pos="5954"/>
          <w:tab w:val="left" w:pos="7655"/>
        </w:tabs>
        <w:ind w:right="-1"/>
        <w:rPr>
          <w:snapToGrid w:val="0"/>
          <w:color w:val="000000"/>
          <w:szCs w:val="22"/>
          <w:u w:color="000000"/>
        </w:rPr>
      </w:pPr>
      <w:r>
        <w:rPr>
          <w:snapToGrid w:val="0"/>
          <w:color w:val="000000"/>
          <w:szCs w:val="22"/>
          <w:u w:color="000000"/>
        </w:rPr>
        <w:tab/>
        <w:t xml:space="preserve">BSBV </w:t>
      </w:r>
      <w:r w:rsidR="00F92824">
        <w:rPr>
          <w:snapToGrid w:val="0"/>
          <w:color w:val="000000"/>
          <w:szCs w:val="22"/>
          <w:u w:color="000000"/>
        </w:rPr>
        <w:t>115</w:t>
      </w:r>
      <w:r w:rsidR="00AD62C1">
        <w:rPr>
          <w:snapToGrid w:val="0"/>
          <w:color w:val="000000"/>
          <w:szCs w:val="22"/>
          <w:u w:color="000000"/>
        </w:rPr>
        <w:t>/</w:t>
      </w:r>
      <w:proofErr w:type="spellStart"/>
      <w:r w:rsidR="00AD62C1">
        <w:rPr>
          <w:snapToGrid w:val="0"/>
          <w:color w:val="000000"/>
          <w:szCs w:val="22"/>
          <w:u w:color="000000"/>
        </w:rPr>
        <w:t>Dr.</w:t>
      </w:r>
      <w:r w:rsidR="005F3730">
        <w:rPr>
          <w:snapToGrid w:val="0"/>
          <w:color w:val="000000"/>
          <w:szCs w:val="22"/>
          <w:u w:color="000000"/>
        </w:rPr>
        <w:t>Egger</w:t>
      </w:r>
      <w:proofErr w:type="spellEnd"/>
      <w:r w:rsidR="005F3730">
        <w:rPr>
          <w:snapToGrid w:val="0"/>
          <w:color w:val="000000"/>
          <w:szCs w:val="22"/>
          <w:u w:color="000000"/>
        </w:rPr>
        <w:tab/>
        <w:t xml:space="preserve">3137            </w:t>
      </w:r>
      <w:r w:rsidR="009845AD">
        <w:rPr>
          <w:snapToGrid w:val="0"/>
          <w:color w:val="000000"/>
          <w:szCs w:val="22"/>
          <w:u w:color="000000"/>
        </w:rPr>
        <w:t xml:space="preserve"> </w:t>
      </w:r>
      <w:r w:rsidR="001072DF">
        <w:rPr>
          <w:snapToGrid w:val="0"/>
          <w:color w:val="000000"/>
          <w:szCs w:val="22"/>
          <w:u w:color="000000"/>
        </w:rPr>
        <w:t>12</w:t>
      </w:r>
      <w:r w:rsidR="00F500B2">
        <w:rPr>
          <w:snapToGrid w:val="0"/>
          <w:color w:val="000000"/>
          <w:szCs w:val="22"/>
          <w:u w:color="000000"/>
        </w:rPr>
        <w:t xml:space="preserve"> </w:t>
      </w:r>
      <w:proofErr w:type="spellStart"/>
      <w:r w:rsidR="00F500B2">
        <w:rPr>
          <w:snapToGrid w:val="0"/>
          <w:color w:val="000000"/>
          <w:szCs w:val="22"/>
          <w:u w:color="000000"/>
        </w:rPr>
        <w:t>January</w:t>
      </w:r>
      <w:proofErr w:type="spellEnd"/>
      <w:r w:rsidR="00F500B2">
        <w:rPr>
          <w:snapToGrid w:val="0"/>
          <w:color w:val="000000"/>
          <w:szCs w:val="22"/>
          <w:u w:color="000000"/>
        </w:rPr>
        <w:t xml:space="preserve"> 2015</w:t>
      </w:r>
      <w:r w:rsidR="00F92824">
        <w:rPr>
          <w:snapToGrid w:val="0"/>
          <w:color w:val="000000"/>
          <w:szCs w:val="22"/>
          <w:u w:color="000000"/>
        </w:rPr>
        <w:t xml:space="preserve"> </w:t>
      </w:r>
    </w:p>
    <w:p w:rsidR="00154A68" w:rsidRDefault="00154A68" w:rsidP="00154A68"/>
    <w:p w:rsidR="0094573F" w:rsidRDefault="0094573F" w:rsidP="00154A68"/>
    <w:p w:rsidR="00EB6FE5" w:rsidRDefault="00F92824" w:rsidP="00154A68">
      <w:pPr>
        <w:rPr>
          <w:b/>
          <w:u w:val="single"/>
        </w:rPr>
      </w:pPr>
      <w:r w:rsidRPr="00F92824">
        <w:rPr>
          <w:b/>
          <w:u w:val="single"/>
        </w:rPr>
        <w:t>EBA</w:t>
      </w:r>
      <w:r w:rsidR="005F3730">
        <w:rPr>
          <w:b/>
          <w:u w:val="single"/>
        </w:rPr>
        <w:t xml:space="preserve"> </w:t>
      </w:r>
      <w:proofErr w:type="spellStart"/>
      <w:r w:rsidR="00E91A24">
        <w:rPr>
          <w:b/>
          <w:u w:val="single"/>
        </w:rPr>
        <w:t>Discussion</w:t>
      </w:r>
      <w:proofErr w:type="spellEnd"/>
      <w:r w:rsidR="00E91A24">
        <w:rPr>
          <w:b/>
          <w:u w:val="single"/>
        </w:rPr>
        <w:t xml:space="preserve"> Paper on simple </w:t>
      </w:r>
      <w:proofErr w:type="spellStart"/>
      <w:r w:rsidR="00E91A24">
        <w:rPr>
          <w:b/>
          <w:u w:val="single"/>
        </w:rPr>
        <w:t>standard</w:t>
      </w:r>
      <w:proofErr w:type="spellEnd"/>
      <w:r w:rsidR="00E91A24">
        <w:rPr>
          <w:b/>
          <w:u w:val="single"/>
        </w:rPr>
        <w:t xml:space="preserve"> </w:t>
      </w:r>
      <w:proofErr w:type="spellStart"/>
      <w:r w:rsidR="00E91A24">
        <w:rPr>
          <w:b/>
          <w:u w:val="single"/>
        </w:rPr>
        <w:t>and</w:t>
      </w:r>
      <w:proofErr w:type="spellEnd"/>
      <w:r w:rsidR="00E91A24">
        <w:rPr>
          <w:b/>
          <w:u w:val="single"/>
        </w:rPr>
        <w:t xml:space="preserve"> transparent </w:t>
      </w:r>
      <w:proofErr w:type="spellStart"/>
      <w:r w:rsidR="00E91A24">
        <w:rPr>
          <w:b/>
          <w:u w:val="single"/>
        </w:rPr>
        <w:t>securitisations</w:t>
      </w:r>
      <w:proofErr w:type="spellEnd"/>
      <w:r w:rsidR="00E91A24">
        <w:rPr>
          <w:b/>
          <w:u w:val="single"/>
        </w:rPr>
        <w:t xml:space="preserve"> </w:t>
      </w:r>
    </w:p>
    <w:p w:rsidR="00D973D5" w:rsidRDefault="00D973D5" w:rsidP="0010363C">
      <w:pPr>
        <w:spacing w:line="240" w:lineRule="auto"/>
        <w:ind w:right="-1"/>
        <w:rPr>
          <w:szCs w:val="22"/>
          <w:lang w:eastAsia="de-AT"/>
        </w:rPr>
      </w:pPr>
    </w:p>
    <w:p w:rsidR="0010363C" w:rsidRPr="00322AE6" w:rsidRDefault="00F92824" w:rsidP="0010363C">
      <w:pPr>
        <w:spacing w:line="240" w:lineRule="auto"/>
        <w:ind w:right="-1"/>
        <w:rPr>
          <w:rFonts w:cs="Arial"/>
          <w:color w:val="000000"/>
          <w:lang w:val="en-GB" w:eastAsia="en-US"/>
        </w:rPr>
      </w:pPr>
      <w:r w:rsidRPr="005B5CD9">
        <w:rPr>
          <w:lang w:val="en-GB"/>
        </w:rPr>
        <w:t>The Division Bank and Insurance of the Austrian Federal Economic Chamber, as representative of the entire Austrian banking industry, appreciates the possibility to</w:t>
      </w:r>
      <w:r w:rsidRPr="005B5CD9">
        <w:rPr>
          <w:rFonts w:cs="Arial"/>
          <w:color w:val="000000"/>
          <w:lang w:val="en-GB" w:eastAsia="en-US"/>
        </w:rPr>
        <w:t xml:space="preserve"> comment on</w:t>
      </w:r>
      <w:r>
        <w:rPr>
          <w:rFonts w:cs="Arial"/>
          <w:color w:val="000000"/>
          <w:lang w:val="en-GB" w:eastAsia="en-US"/>
        </w:rPr>
        <w:t xml:space="preserve"> the </w:t>
      </w:r>
      <w:r w:rsidR="00E91A24" w:rsidRPr="00E91A24">
        <w:rPr>
          <w:rFonts w:cs="Arial"/>
          <w:color w:val="000000"/>
          <w:lang w:val="en-GB" w:eastAsia="en-US"/>
        </w:rPr>
        <w:t xml:space="preserve">Discussion Paper on simple standard and transparent securitisations </w:t>
      </w:r>
      <w:r w:rsidRPr="005B5CD9">
        <w:rPr>
          <w:rFonts w:cs="Arial"/>
          <w:color w:val="000000"/>
          <w:lang w:val="en-GB" w:eastAsia="en-US"/>
        </w:rPr>
        <w:t>and would like to submit the following position</w:t>
      </w:r>
      <w:r>
        <w:rPr>
          <w:rFonts w:cs="Arial"/>
          <w:color w:val="000000"/>
          <w:lang w:val="en-GB" w:eastAsia="en-US"/>
        </w:rPr>
        <w:t>:</w:t>
      </w:r>
      <w:r>
        <w:rPr>
          <w:szCs w:val="22"/>
          <w:lang w:eastAsia="de-AT"/>
        </w:rPr>
        <w:t xml:space="preserve"> </w:t>
      </w:r>
    </w:p>
    <w:p w:rsidR="00564015" w:rsidRPr="00F500B2" w:rsidRDefault="00564015" w:rsidP="0010363C">
      <w:pPr>
        <w:spacing w:line="240" w:lineRule="auto"/>
        <w:ind w:right="-1"/>
        <w:rPr>
          <w:b/>
          <w:lang w:val="en-GB"/>
        </w:rPr>
      </w:pPr>
    </w:p>
    <w:p w:rsidR="00F500B2" w:rsidRPr="00F500B2" w:rsidRDefault="00F500B2" w:rsidP="00F500B2">
      <w:r w:rsidRPr="00F500B2">
        <w:rPr>
          <w:lang w:val="en-GB"/>
        </w:rPr>
        <w:t>We appreciate the EBA proposal for simple standard and transparent securitisations. From our point of view the paper finally corrects the “one-size-fits-all” shortage of the current regulatory approach and the proposed revisions to the securitisation framework.</w:t>
      </w:r>
    </w:p>
    <w:p w:rsidR="00F500B2" w:rsidRPr="00F500B2" w:rsidRDefault="00F500B2" w:rsidP="00F500B2">
      <w:r w:rsidRPr="00F500B2">
        <w:rPr>
          <w:lang w:val="en-GB"/>
        </w:rPr>
        <w:t>We highly welcome that the existing CRR capital requirements are taken as basis instead of those proposed in the revision from December 2013. If the EBA recommendations of a two-stage approach, a decrease of the capital requirement for qualifying securitisations to near neutrality of capital charges compared to the underlying portfolio of exposures and an alignment of the different regulations will be implemented, securitisations will become economically feasible for originators again and the comeback of this essential risk transfer and funding instrument will be facilitated.</w:t>
      </w:r>
    </w:p>
    <w:p w:rsidR="00F500B2" w:rsidRPr="00F500B2" w:rsidRDefault="00F500B2" w:rsidP="00F500B2">
      <w:r w:rsidRPr="00F500B2">
        <w:rPr>
          <w:lang w:val="en-GB"/>
        </w:rPr>
        <w:t> </w:t>
      </w:r>
    </w:p>
    <w:p w:rsidR="00F500B2" w:rsidRDefault="00F500B2" w:rsidP="00F500B2">
      <w:pPr>
        <w:rPr>
          <w:b/>
          <w:bCs/>
          <w:u w:val="single"/>
          <w:lang w:val="en-GB"/>
        </w:rPr>
      </w:pPr>
      <w:r w:rsidRPr="00F500B2">
        <w:rPr>
          <w:b/>
          <w:bCs/>
          <w:u w:val="single"/>
          <w:lang w:val="en-GB"/>
        </w:rPr>
        <w:t>Questions:</w:t>
      </w:r>
    </w:p>
    <w:p w:rsidR="00F500B2" w:rsidRPr="00F500B2" w:rsidRDefault="00F500B2" w:rsidP="00F500B2"/>
    <w:p w:rsidR="00F500B2" w:rsidRPr="00F500B2" w:rsidRDefault="00F500B2" w:rsidP="00F500B2">
      <w:r w:rsidRPr="00F500B2">
        <w:rPr>
          <w:b/>
          <w:bCs/>
          <w:lang w:val="en-US"/>
        </w:rPr>
        <w:t xml:space="preserve">Question 1: Do you agree with identified impediments to the </w:t>
      </w:r>
      <w:proofErr w:type="spellStart"/>
      <w:r w:rsidRPr="00F500B2">
        <w:rPr>
          <w:b/>
          <w:bCs/>
          <w:lang w:val="en-US"/>
        </w:rPr>
        <w:t>securitisation</w:t>
      </w:r>
      <w:proofErr w:type="spellEnd"/>
      <w:r w:rsidRPr="00F500B2">
        <w:rPr>
          <w:b/>
          <w:bCs/>
          <w:lang w:val="en-US"/>
        </w:rPr>
        <w:t xml:space="preserve"> market? </w:t>
      </w:r>
    </w:p>
    <w:p w:rsidR="00F500B2" w:rsidRPr="00F500B2" w:rsidRDefault="00F500B2" w:rsidP="00F500B2">
      <w:r w:rsidRPr="00F500B2">
        <w:rPr>
          <w:lang w:val="en-GB"/>
        </w:rPr>
        <w:t>Yes, we agree.</w:t>
      </w:r>
    </w:p>
    <w:p w:rsidR="00F500B2" w:rsidRPr="00F500B2" w:rsidRDefault="00F500B2" w:rsidP="00F500B2">
      <w:r w:rsidRPr="00F500B2">
        <w:rPr>
          <w:lang w:val="en-US"/>
        </w:rPr>
        <w:t> </w:t>
      </w:r>
    </w:p>
    <w:p w:rsidR="00F500B2" w:rsidRPr="00F500B2" w:rsidRDefault="00F500B2" w:rsidP="00F500B2">
      <w:r w:rsidRPr="00F500B2">
        <w:rPr>
          <w:b/>
          <w:bCs/>
          <w:lang w:val="en-US"/>
        </w:rPr>
        <w:t xml:space="preserve">Question 2: Should synthetic </w:t>
      </w:r>
      <w:proofErr w:type="spellStart"/>
      <w:r w:rsidRPr="00F500B2">
        <w:rPr>
          <w:b/>
          <w:bCs/>
          <w:lang w:val="en-US"/>
        </w:rPr>
        <w:t>securitisations</w:t>
      </w:r>
      <w:proofErr w:type="spellEnd"/>
      <w:r w:rsidRPr="00F500B2">
        <w:rPr>
          <w:b/>
          <w:bCs/>
          <w:lang w:val="en-US"/>
        </w:rPr>
        <w:t xml:space="preserve"> be excluded from the framework for simple standard and transparent </w:t>
      </w:r>
      <w:proofErr w:type="spellStart"/>
      <w:r w:rsidRPr="00F500B2">
        <w:rPr>
          <w:b/>
          <w:bCs/>
          <w:lang w:val="en-US"/>
        </w:rPr>
        <w:t>securitisations</w:t>
      </w:r>
      <w:proofErr w:type="spellEnd"/>
      <w:r w:rsidRPr="00F500B2">
        <w:rPr>
          <w:b/>
          <w:bCs/>
          <w:lang w:val="en-US"/>
        </w:rPr>
        <w:t xml:space="preserve">? If not, under which conditions/criteria could they be considered simple standard and transparent? </w:t>
      </w:r>
    </w:p>
    <w:p w:rsidR="00F500B2" w:rsidRPr="00F500B2" w:rsidRDefault="00F500B2" w:rsidP="00F500B2">
      <w:r w:rsidRPr="00F500B2">
        <w:rPr>
          <w:lang w:val="en-GB"/>
        </w:rPr>
        <w:t xml:space="preserve">In our view, synthetic securitisations should not be excluded from the framework for simple, standard and transparent securitisations. </w:t>
      </w:r>
    </w:p>
    <w:p w:rsidR="00F500B2" w:rsidRPr="00F500B2" w:rsidRDefault="00F500B2" w:rsidP="00F500B2">
      <w:r w:rsidRPr="00F500B2">
        <w:rPr>
          <w:lang w:val="en-GB"/>
        </w:rPr>
        <w:t> </w:t>
      </w:r>
    </w:p>
    <w:p w:rsidR="00F500B2" w:rsidRPr="00F500B2" w:rsidRDefault="00F500B2" w:rsidP="00F500B2">
      <w:r w:rsidRPr="00F500B2">
        <w:rPr>
          <w:lang w:val="en-GB"/>
        </w:rPr>
        <w:t xml:space="preserve">Synthetic securitisations can be structured in a way to fulfil all mentioned criteria for qualifying securitisations. The non-compliance of legal true sale under criterion 3 and again mentioned under criterion 1 (legal and economic transfer) can be eliminated with funded trustee accounts from investors and the originator. The investors pay the notes notional on a </w:t>
      </w:r>
      <w:r w:rsidRPr="00F500B2">
        <w:rPr>
          <w:lang w:val="en-GB"/>
        </w:rPr>
        <w:lastRenderedPageBreak/>
        <w:t>trustee account to cover losses of the underlying assets. The originator pays the interest on the notes on a trustee account for fulfilment of its payment obligations until maturity. A legal transfer for recourse is therefore not necessary. Moreover, not including synthetic transactions would be a differentiation from the CRR in which the same capital requirement calculations apply for both traditional and synthetic transactions.</w:t>
      </w:r>
    </w:p>
    <w:p w:rsidR="00F500B2" w:rsidRPr="00F500B2" w:rsidRDefault="00F500B2" w:rsidP="00F500B2">
      <w:r w:rsidRPr="00F500B2">
        <w:rPr>
          <w:b/>
          <w:bCs/>
          <w:lang w:val="en-GB"/>
        </w:rPr>
        <w:t> </w:t>
      </w:r>
    </w:p>
    <w:p w:rsidR="00F500B2" w:rsidRPr="00F500B2" w:rsidRDefault="00F500B2" w:rsidP="00F500B2">
      <w:r w:rsidRPr="00F500B2">
        <w:rPr>
          <w:b/>
          <w:bCs/>
          <w:lang w:val="en-US"/>
        </w:rPr>
        <w:t xml:space="preserve">Question 3: Do you believe the default definition proposed under Criterion 5 (ii) above is appropriate? Would the default definition as per Article 178 of the CRR be more appropriate? </w:t>
      </w:r>
    </w:p>
    <w:p w:rsidR="00F500B2" w:rsidRPr="00F500B2" w:rsidRDefault="00F500B2" w:rsidP="00F500B2">
      <w:r w:rsidRPr="00F500B2">
        <w:rPr>
          <w:lang w:val="en-GB"/>
        </w:rPr>
        <w:t>Instead of defaulted exposures (criterion 5 ii) we would recommend to only allow current exposures for qualifying securitisations at the time of inclusion. Exposures in arrears have a higher credit risk and should therefore not be included under qualifying securitisations.</w:t>
      </w:r>
    </w:p>
    <w:p w:rsidR="00F500B2" w:rsidRPr="00F500B2" w:rsidRDefault="00F500B2" w:rsidP="00F500B2">
      <w:r w:rsidRPr="00F500B2">
        <w:rPr>
          <w:b/>
          <w:bCs/>
          <w:lang w:val="en-GB"/>
        </w:rPr>
        <w:t> </w:t>
      </w:r>
    </w:p>
    <w:p w:rsidR="00F500B2" w:rsidRPr="00F500B2" w:rsidRDefault="00F500B2" w:rsidP="00F500B2">
      <w:r w:rsidRPr="00F500B2">
        <w:rPr>
          <w:b/>
          <w:bCs/>
          <w:lang w:val="en-US"/>
        </w:rPr>
        <w:t xml:space="preserve">Question 4: Do you believe that, for the purposes of standardization, there should be limits imposed on the type of jurisdiction (such as EEA only, EEA and non-EEA G10 countries, </w:t>
      </w:r>
      <w:proofErr w:type="spellStart"/>
      <w:r w:rsidRPr="00F500B2">
        <w:rPr>
          <w:b/>
          <w:bCs/>
          <w:lang w:val="en-US"/>
        </w:rPr>
        <w:t>etc</w:t>
      </w:r>
      <w:proofErr w:type="spellEnd"/>
      <w:r w:rsidRPr="00F500B2">
        <w:rPr>
          <w:b/>
          <w:bCs/>
          <w:lang w:val="en-US"/>
        </w:rPr>
        <w:t xml:space="preserve">): i) the underlying assets are originated and/or ii) governing the acquisition process of the SSPE of the underlying assets is regulated and/or iii) where the originator or intermediary (if applicable) is established and/or iv) where the issuer/sponsor is established? </w:t>
      </w:r>
    </w:p>
    <w:p w:rsidR="00F500B2" w:rsidRPr="00F500B2" w:rsidRDefault="00F500B2" w:rsidP="00F500B2">
      <w:r w:rsidRPr="00F500B2">
        <w:rPr>
          <w:lang w:val="en-US"/>
        </w:rPr>
        <w:t>No. We do not believe that there should be limits imposed on the type of jurisdiction.</w:t>
      </w:r>
    </w:p>
    <w:p w:rsidR="00F500B2" w:rsidRPr="00F500B2" w:rsidRDefault="00F500B2" w:rsidP="00F500B2">
      <w:r w:rsidRPr="00F500B2">
        <w:rPr>
          <w:b/>
          <w:bCs/>
          <w:lang w:val="en-US"/>
        </w:rPr>
        <w:t> </w:t>
      </w:r>
    </w:p>
    <w:p w:rsidR="00F500B2" w:rsidRPr="00F500B2" w:rsidRDefault="00F500B2" w:rsidP="00F500B2">
      <w:r w:rsidRPr="00F500B2">
        <w:rPr>
          <w:b/>
          <w:bCs/>
          <w:lang w:val="en-US"/>
        </w:rPr>
        <w:t xml:space="preserve">Question 5: Does the distribution of voting rights to the most senior tranches in the </w:t>
      </w:r>
      <w:proofErr w:type="spellStart"/>
      <w:r w:rsidRPr="00F500B2">
        <w:rPr>
          <w:b/>
          <w:bCs/>
          <w:lang w:val="en-US"/>
        </w:rPr>
        <w:t>securitisation</w:t>
      </w:r>
      <w:proofErr w:type="spellEnd"/>
      <w:r w:rsidRPr="00F500B2">
        <w:rPr>
          <w:b/>
          <w:bCs/>
          <w:lang w:val="en-US"/>
        </w:rPr>
        <w:t xml:space="preserve"> conflict with any national provision? Would this distribution deter investors in non-senior tranches and obstacle the structuring of transactions? </w:t>
      </w:r>
    </w:p>
    <w:p w:rsidR="00F500B2" w:rsidRPr="00F500B2" w:rsidRDefault="00F500B2" w:rsidP="00F500B2">
      <w:r w:rsidRPr="00F500B2">
        <w:rPr>
          <w:lang w:val="en-GB"/>
        </w:rPr>
        <w:t>The distribution of the voting rights to the most senior tranches shortens the decision-making process, strengthens the most senior tranche and helps to support the decrease of the capital requirement for this tranche.</w:t>
      </w:r>
    </w:p>
    <w:p w:rsidR="00F500B2" w:rsidRPr="00F500B2" w:rsidRDefault="00F500B2" w:rsidP="00F500B2">
      <w:r w:rsidRPr="00F500B2">
        <w:rPr>
          <w:b/>
          <w:bCs/>
          <w:lang w:val="en-GB"/>
        </w:rPr>
        <w:t> </w:t>
      </w:r>
    </w:p>
    <w:p w:rsidR="00F500B2" w:rsidRPr="00F500B2" w:rsidRDefault="00F500B2" w:rsidP="00F500B2">
      <w:r w:rsidRPr="00F500B2">
        <w:rPr>
          <w:b/>
          <w:bCs/>
          <w:lang w:val="en-US"/>
        </w:rPr>
        <w:t xml:space="preserve">Question 6: Do you believe that, for the purposes of transparency, a specific timing of the disclosure of underlying transaction documentation should be required? Should this documentation be disclosed prior to issuance? </w:t>
      </w:r>
    </w:p>
    <w:p w:rsidR="00F500B2" w:rsidRPr="00F500B2" w:rsidRDefault="00F500B2" w:rsidP="00F500B2">
      <w:r w:rsidRPr="00F500B2">
        <w:rPr>
          <w:lang w:val="en-GB"/>
        </w:rPr>
        <w:t>The transaction documentation should be provided prior to issuance to give investors enough time to analyse and model the transaction.</w:t>
      </w:r>
    </w:p>
    <w:p w:rsidR="00F500B2" w:rsidRPr="00F500B2" w:rsidRDefault="00F500B2" w:rsidP="00F500B2">
      <w:r w:rsidRPr="00F500B2">
        <w:rPr>
          <w:b/>
          <w:bCs/>
          <w:lang w:val="en-GB"/>
        </w:rPr>
        <w:t> </w:t>
      </w:r>
    </w:p>
    <w:p w:rsidR="00F500B2" w:rsidRPr="00F500B2" w:rsidRDefault="00F500B2" w:rsidP="00F500B2">
      <w:r w:rsidRPr="00F500B2">
        <w:rPr>
          <w:b/>
          <w:bCs/>
          <w:lang w:val="en-US"/>
        </w:rPr>
        <w:t xml:space="preserve">Question 7: Do you agree that granularity is a relevant factor determining the credit risk of the underlying? Does the threshold value proposed under Criterion B pose an obstacle to the structuring of </w:t>
      </w:r>
      <w:proofErr w:type="spellStart"/>
      <w:r w:rsidRPr="00F500B2">
        <w:rPr>
          <w:b/>
          <w:bCs/>
          <w:lang w:val="en-US"/>
        </w:rPr>
        <w:t>securitisation</w:t>
      </w:r>
      <w:proofErr w:type="spellEnd"/>
      <w:r w:rsidRPr="00F500B2">
        <w:rPr>
          <w:b/>
          <w:bCs/>
          <w:lang w:val="en-US"/>
        </w:rPr>
        <w:t xml:space="preserve"> transactions in any specific asset class? Would another threshold value be more appropriate? </w:t>
      </w:r>
    </w:p>
    <w:p w:rsidR="00F500B2" w:rsidRPr="00F500B2" w:rsidRDefault="00F500B2" w:rsidP="00F500B2">
      <w:r w:rsidRPr="00F500B2">
        <w:rPr>
          <w:lang w:val="en-GB"/>
        </w:rPr>
        <w:t xml:space="preserve">The criterion for at least 100 exposures eliminates CMBS as well as most CLOs from qualifying securitisations. Granularity itself does not suggest lower credit risk as the US subprime and Alt-A historic performance shows. </w:t>
      </w:r>
    </w:p>
    <w:p w:rsidR="00F500B2" w:rsidRPr="00F500B2" w:rsidRDefault="00F500B2" w:rsidP="00F500B2">
      <w:r w:rsidRPr="00F500B2">
        <w:rPr>
          <w:b/>
          <w:bCs/>
          <w:lang w:val="en-US"/>
        </w:rPr>
        <w:t> </w:t>
      </w:r>
    </w:p>
    <w:p w:rsidR="00F500B2" w:rsidRPr="00F500B2" w:rsidRDefault="00F500B2" w:rsidP="00F500B2">
      <w:r w:rsidRPr="00F500B2">
        <w:rPr>
          <w:b/>
          <w:bCs/>
          <w:lang w:val="en-US"/>
        </w:rPr>
        <w:t xml:space="preserve">Question 8: Do you agree with the proposed criteria defining simple standard and transparent </w:t>
      </w:r>
      <w:proofErr w:type="spellStart"/>
      <w:r w:rsidRPr="00F500B2">
        <w:rPr>
          <w:b/>
          <w:bCs/>
          <w:lang w:val="en-US"/>
        </w:rPr>
        <w:t>securitisations</w:t>
      </w:r>
      <w:proofErr w:type="spellEnd"/>
      <w:r w:rsidRPr="00F500B2">
        <w:rPr>
          <w:b/>
          <w:bCs/>
          <w:lang w:val="en-US"/>
        </w:rPr>
        <w:t xml:space="preserve">? Do you agree with the proposed credit risk criteria? Should any other criteria be considered? </w:t>
      </w:r>
    </w:p>
    <w:p w:rsidR="00F500B2" w:rsidRPr="00F500B2" w:rsidRDefault="00F500B2" w:rsidP="00F500B2">
      <w:r w:rsidRPr="00F500B2">
        <w:rPr>
          <w:lang w:val="en-GB"/>
        </w:rPr>
        <w:t>We agree with most of the proposed criteria apart from the exclusion of synthetic transactions and appreciate that certain asset classes are not eliminated right from the start. However, with the granularity criterion 7 CMBS and CLOs with below 100 exposures would be eliminated. The loan-to-value 100% limit needs further explanation in terms of value (</w:t>
      </w:r>
      <w:proofErr w:type="spellStart"/>
      <w:r w:rsidRPr="00F500B2">
        <w:rPr>
          <w:lang w:val="en-GB"/>
        </w:rPr>
        <w:t>eg</w:t>
      </w:r>
      <w:proofErr w:type="spellEnd"/>
      <w:r w:rsidRPr="00F500B2">
        <w:rPr>
          <w:lang w:val="en-GB"/>
        </w:rPr>
        <w:t xml:space="preserve"> foreclosure value in NL). Does it mean that the 100 % risk weight limit under ii) d) for all </w:t>
      </w:r>
      <w:r w:rsidRPr="00F500B2">
        <w:rPr>
          <w:lang w:val="en-GB"/>
        </w:rPr>
        <w:lastRenderedPageBreak/>
        <w:t>other exposures corresponds to the exclusion of all B and lower rated SME and corporate exposures (Table 2, page 27) under qualifying securitisations? Therefore we may ask the EBA for more clarification.</w:t>
      </w:r>
    </w:p>
    <w:p w:rsidR="00F500B2" w:rsidRPr="00F500B2" w:rsidRDefault="00F500B2" w:rsidP="00F500B2">
      <w:r w:rsidRPr="00F500B2">
        <w:rPr>
          <w:b/>
          <w:bCs/>
          <w:lang w:val="en-GB"/>
        </w:rPr>
        <w:t> </w:t>
      </w:r>
    </w:p>
    <w:p w:rsidR="00F500B2" w:rsidRPr="00F500B2" w:rsidRDefault="00F500B2" w:rsidP="00F500B2">
      <w:r w:rsidRPr="00F500B2">
        <w:rPr>
          <w:b/>
          <w:bCs/>
          <w:lang w:val="en-US"/>
        </w:rPr>
        <w:t xml:space="preserve">Question 9: Do you envisage any potential adverse market consequences of introducing a qualifying </w:t>
      </w:r>
      <w:proofErr w:type="spellStart"/>
      <w:r w:rsidRPr="00F500B2">
        <w:rPr>
          <w:b/>
          <w:bCs/>
          <w:lang w:val="en-US"/>
        </w:rPr>
        <w:t>securitisation</w:t>
      </w:r>
      <w:proofErr w:type="spellEnd"/>
      <w:r w:rsidRPr="00F500B2">
        <w:rPr>
          <w:b/>
          <w:bCs/>
          <w:lang w:val="en-US"/>
        </w:rPr>
        <w:t xml:space="preserve"> framework for regulatory purposes? </w:t>
      </w:r>
    </w:p>
    <w:p w:rsidR="00F500B2" w:rsidRPr="00F500B2" w:rsidRDefault="00F500B2" w:rsidP="00F500B2">
      <w:r w:rsidRPr="00F500B2">
        <w:rPr>
          <w:lang w:val="en-GB"/>
        </w:rPr>
        <w:t>No. As long as qualifying securitisations will benefit from lower capital requirements compared to the CRR requirements and for non-qualifying securitisation transactions the capital requirements of the CRR will not be increased (in contrast to the revisions to the securitisation framework).</w:t>
      </w:r>
    </w:p>
    <w:p w:rsidR="00F500B2" w:rsidRPr="00F500B2" w:rsidRDefault="00F500B2" w:rsidP="00F500B2">
      <w:r w:rsidRPr="00F500B2">
        <w:rPr>
          <w:lang w:val="en-GB"/>
        </w:rPr>
        <w:t> </w:t>
      </w:r>
    </w:p>
    <w:p w:rsidR="00F500B2" w:rsidRPr="00F500B2" w:rsidRDefault="00F500B2" w:rsidP="00F500B2">
      <w:r w:rsidRPr="00F500B2">
        <w:rPr>
          <w:b/>
          <w:bCs/>
          <w:lang w:val="en-US"/>
        </w:rPr>
        <w:t xml:space="preserve">Question 10: How should capital requirements reflect the partition between qualifying and non-qualifying? </w:t>
      </w:r>
    </w:p>
    <w:p w:rsidR="00F500B2" w:rsidRPr="00F500B2" w:rsidRDefault="00F500B2" w:rsidP="00F500B2">
      <w:r w:rsidRPr="00F500B2">
        <w:rPr>
          <w:lang w:val="en-GB"/>
        </w:rPr>
        <w:t>Please see our response to question 9.</w:t>
      </w:r>
    </w:p>
    <w:p w:rsidR="00F500B2" w:rsidRPr="00F500B2" w:rsidRDefault="00F500B2" w:rsidP="00F500B2">
      <w:r w:rsidRPr="00F500B2">
        <w:rPr>
          <w:b/>
          <w:bCs/>
          <w:lang w:val="en-GB"/>
        </w:rPr>
        <w:t> </w:t>
      </w:r>
    </w:p>
    <w:p w:rsidR="00F500B2" w:rsidRPr="00F500B2" w:rsidRDefault="00F500B2" w:rsidP="00F500B2">
      <w:r w:rsidRPr="00F500B2">
        <w:rPr>
          <w:b/>
          <w:bCs/>
          <w:lang w:val="en-US"/>
        </w:rPr>
        <w:t xml:space="preserve">Question 11: What is a reasonable calibration across tranches and credit quality steps for qualifying </w:t>
      </w:r>
      <w:proofErr w:type="spellStart"/>
      <w:r w:rsidRPr="00F500B2">
        <w:rPr>
          <w:b/>
          <w:bCs/>
          <w:lang w:val="en-US"/>
        </w:rPr>
        <w:t>securitisations</w:t>
      </w:r>
      <w:proofErr w:type="spellEnd"/>
      <w:r w:rsidRPr="00F500B2">
        <w:rPr>
          <w:b/>
          <w:bCs/>
          <w:lang w:val="en-US"/>
        </w:rPr>
        <w:t xml:space="preserve">? Would re-allocating across tranches the overall capital applicable to a given transaction by reducing the requirement for the more junior tranche and increasing it for the more senior tranches other than the most senior tranche be a feasible solution? </w:t>
      </w:r>
    </w:p>
    <w:p w:rsidR="00F500B2" w:rsidRPr="00F500B2" w:rsidRDefault="00F500B2" w:rsidP="00F500B2">
      <w:r w:rsidRPr="00F500B2">
        <w:rPr>
          <w:lang w:val="en-GB"/>
        </w:rPr>
        <w:t>A calibration towards near neutrality of the qualifying securitisation compared to its underlying exposures will already reduce the capital requirement of qualifying securitisations. We agree to the proposed reallocation across tranches in favour of the more junior tranches versus more senior ones other than the most senior tranche.</w:t>
      </w:r>
    </w:p>
    <w:p w:rsidR="00F500B2" w:rsidRPr="00F500B2" w:rsidRDefault="00F500B2" w:rsidP="00F500B2">
      <w:r w:rsidRPr="00F500B2">
        <w:rPr>
          <w:b/>
          <w:bCs/>
          <w:lang w:val="en-US"/>
        </w:rPr>
        <w:t> </w:t>
      </w:r>
    </w:p>
    <w:p w:rsidR="00F500B2" w:rsidRPr="00F500B2" w:rsidRDefault="00F500B2" w:rsidP="00F500B2">
      <w:r w:rsidRPr="00F500B2">
        <w:rPr>
          <w:b/>
          <w:bCs/>
          <w:lang w:val="en-US"/>
        </w:rPr>
        <w:t xml:space="preserve">Question 12: Considering that rating ceilings affect </w:t>
      </w:r>
      <w:proofErr w:type="spellStart"/>
      <w:r w:rsidRPr="00F500B2">
        <w:rPr>
          <w:b/>
          <w:bCs/>
          <w:lang w:val="en-US"/>
        </w:rPr>
        <w:t>securitisations</w:t>
      </w:r>
      <w:proofErr w:type="spellEnd"/>
      <w:r w:rsidRPr="00F500B2">
        <w:rPr>
          <w:b/>
          <w:bCs/>
          <w:lang w:val="en-US"/>
        </w:rPr>
        <w:t xml:space="preserve"> from certain countries, how should the calibration of capital requirements on qualifying and non-qualifying </w:t>
      </w:r>
      <w:proofErr w:type="spellStart"/>
      <w:r w:rsidRPr="00F500B2">
        <w:rPr>
          <w:b/>
          <w:bCs/>
          <w:lang w:val="en-US"/>
        </w:rPr>
        <w:t>securitisations</w:t>
      </w:r>
      <w:proofErr w:type="spellEnd"/>
      <w:r w:rsidRPr="00F500B2">
        <w:rPr>
          <w:b/>
          <w:bCs/>
          <w:lang w:val="en-US"/>
        </w:rPr>
        <w:t xml:space="preserve"> be undertaken, while also addressing this issue? </w:t>
      </w:r>
    </w:p>
    <w:p w:rsidR="00F500B2" w:rsidRPr="00F500B2" w:rsidRDefault="00F500B2" w:rsidP="00F500B2">
      <w:r w:rsidRPr="00F500B2">
        <w:rPr>
          <w:lang w:val="en-GB"/>
        </w:rPr>
        <w:t>As in the IRB approach it should be done through lowering the capital requirement for the most senior tranche versus non senior tranche at the same CQS.</w:t>
      </w:r>
    </w:p>
    <w:p w:rsidR="00F500B2" w:rsidRPr="00F500B2" w:rsidRDefault="00F500B2" w:rsidP="00F500B2">
      <w:r w:rsidRPr="00F500B2">
        <w:rPr>
          <w:rFonts w:ascii="Calibri" w:hAnsi="Calibri"/>
          <w:lang w:val="en-US"/>
        </w:rPr>
        <w:t> </w:t>
      </w:r>
    </w:p>
    <w:p w:rsidR="00352BEC" w:rsidRPr="00F500B2" w:rsidRDefault="00F500B2" w:rsidP="0010363C">
      <w:pPr>
        <w:spacing w:line="240" w:lineRule="auto"/>
        <w:ind w:right="-1"/>
        <w:rPr>
          <w:lang w:val="en-GB"/>
        </w:rPr>
      </w:pPr>
      <w:r w:rsidRPr="00F500B2">
        <w:rPr>
          <w:lang w:val="en-GB"/>
        </w:rPr>
        <w:t xml:space="preserve">Moreover we would like to emphasize that the </w:t>
      </w:r>
      <w:r>
        <w:rPr>
          <w:lang w:val="en-GB"/>
        </w:rPr>
        <w:t xml:space="preserve">consultation </w:t>
      </w:r>
      <w:r w:rsidRPr="00F500B2">
        <w:rPr>
          <w:lang w:val="en-GB"/>
        </w:rPr>
        <w:t>is not giving any information on default rates of covered bonds. In post 2007 Austria default rates on covered bonds have been significantly lower i</w:t>
      </w:r>
      <w:r>
        <w:rPr>
          <w:lang w:val="en-GB"/>
        </w:rPr>
        <w:t>n comparison to securitisations.</w:t>
      </w:r>
      <w:r w:rsidRPr="00F500B2">
        <w:rPr>
          <w:lang w:val="en-GB"/>
        </w:rPr>
        <w:t xml:space="preserve"> The covered bond market is much larger and has a much longer and favourable (credit and investment) history in comparison to </w:t>
      </w:r>
      <w:bookmarkStart w:id="1" w:name="_GoBack"/>
      <w:bookmarkEnd w:id="1"/>
      <w:r w:rsidRPr="00F500B2">
        <w:rPr>
          <w:lang w:val="en-GB"/>
        </w:rPr>
        <w:t>few securitisations including Austrian assets in the more recent past. We see the reason for covered bonds not being stigmatised at all in those differences (opposite securitisations) as are listed on page 19 of the consultation. Taking a holistic approach on both securitisations and covered bonds may easily result in a rub-off of the stigma on the covered bonds market. Thus, we disagree with recommendation 1."</w:t>
      </w:r>
    </w:p>
    <w:p w:rsidR="00E91A24" w:rsidRDefault="00E91A24" w:rsidP="0010363C">
      <w:pPr>
        <w:spacing w:line="240" w:lineRule="auto"/>
        <w:ind w:right="-1"/>
        <w:rPr>
          <w:lang w:val="en-GB"/>
        </w:rPr>
      </w:pPr>
    </w:p>
    <w:p w:rsidR="00EB6FE5" w:rsidRDefault="00EB6FE5" w:rsidP="0010363C">
      <w:pPr>
        <w:spacing w:line="240" w:lineRule="auto"/>
        <w:ind w:right="-1"/>
        <w:rPr>
          <w:lang w:val="en-GB"/>
        </w:rPr>
      </w:pPr>
      <w:r w:rsidRPr="00EB6FE5">
        <w:rPr>
          <w:lang w:val="en-GB"/>
        </w:rPr>
        <w:t>Please give our concerns due consideration.</w:t>
      </w:r>
    </w:p>
    <w:p w:rsidR="00EB6FE5" w:rsidRPr="00EB6FE5" w:rsidRDefault="00EB6FE5" w:rsidP="00EB6FE5">
      <w:pPr>
        <w:spacing w:line="240" w:lineRule="auto"/>
        <w:ind w:right="-1"/>
        <w:rPr>
          <w:lang w:val="en-GB"/>
        </w:rPr>
      </w:pPr>
    </w:p>
    <w:p w:rsidR="00EB6FE5" w:rsidRPr="00EB6FE5" w:rsidRDefault="00EB6FE5" w:rsidP="00EB6FE5">
      <w:pPr>
        <w:spacing w:line="240" w:lineRule="auto"/>
        <w:ind w:right="-1"/>
        <w:rPr>
          <w:lang w:val="en-GB"/>
        </w:rPr>
      </w:pPr>
    </w:p>
    <w:p w:rsidR="00EB6FE5" w:rsidRPr="00EB6FE5" w:rsidRDefault="00EB6FE5" w:rsidP="00EB6FE5">
      <w:pPr>
        <w:spacing w:line="240" w:lineRule="auto"/>
        <w:ind w:right="-1"/>
        <w:rPr>
          <w:lang w:val="en-GB"/>
        </w:rPr>
      </w:pPr>
      <w:r w:rsidRPr="00EB6FE5">
        <w:rPr>
          <w:lang w:val="en-GB"/>
        </w:rPr>
        <w:t>Yours faithfully,</w:t>
      </w:r>
    </w:p>
    <w:p w:rsidR="00EB6FE5" w:rsidRPr="00EB6FE5" w:rsidRDefault="00EB6FE5" w:rsidP="00EB6FE5">
      <w:pPr>
        <w:spacing w:line="240" w:lineRule="auto"/>
        <w:ind w:right="-1"/>
        <w:rPr>
          <w:lang w:val="en-GB"/>
        </w:rPr>
      </w:pPr>
    </w:p>
    <w:p w:rsidR="00EB6FE5" w:rsidRPr="00EB6FE5" w:rsidRDefault="00EB6FE5" w:rsidP="00EB6FE5">
      <w:pPr>
        <w:spacing w:line="240" w:lineRule="auto"/>
        <w:ind w:right="-1"/>
        <w:rPr>
          <w:lang w:val="en-GB"/>
        </w:rPr>
      </w:pPr>
      <w:proofErr w:type="spellStart"/>
      <w:r w:rsidRPr="00EB6FE5">
        <w:rPr>
          <w:lang w:val="en-GB"/>
        </w:rPr>
        <w:t>Dr.</w:t>
      </w:r>
      <w:proofErr w:type="spellEnd"/>
      <w:r w:rsidRPr="00EB6FE5">
        <w:rPr>
          <w:lang w:val="en-GB"/>
        </w:rPr>
        <w:t xml:space="preserve"> Franz Rudorfer</w:t>
      </w:r>
    </w:p>
    <w:p w:rsidR="00EB6FE5" w:rsidRPr="00EB6FE5" w:rsidRDefault="00EB6FE5" w:rsidP="00EB6FE5">
      <w:pPr>
        <w:spacing w:line="240" w:lineRule="auto"/>
        <w:ind w:right="-1"/>
        <w:rPr>
          <w:lang w:val="en-GB"/>
        </w:rPr>
      </w:pPr>
      <w:r w:rsidRPr="00EB6FE5">
        <w:rPr>
          <w:lang w:val="en-GB"/>
        </w:rPr>
        <w:t>Managing Director</w:t>
      </w:r>
    </w:p>
    <w:p w:rsidR="00EB6FE5" w:rsidRPr="00322AE6" w:rsidRDefault="00EB6FE5" w:rsidP="00EB6FE5">
      <w:pPr>
        <w:spacing w:line="240" w:lineRule="auto"/>
        <w:ind w:right="-1"/>
        <w:rPr>
          <w:lang w:val="en-GB"/>
        </w:rPr>
      </w:pPr>
      <w:r w:rsidRPr="00EB6FE5">
        <w:rPr>
          <w:lang w:val="en-GB"/>
        </w:rPr>
        <w:t>Division Bank and Insurance</w:t>
      </w:r>
    </w:p>
    <w:sectPr w:rsidR="00EB6FE5" w:rsidRPr="00322AE6" w:rsidSect="00B57120">
      <w:footerReference w:type="default" r:id="rId9"/>
      <w:headerReference w:type="first" r:id="rId10"/>
      <w:footerReference w:type="first" r:id="rId11"/>
      <w:pgSz w:w="11906" w:h="16838"/>
      <w:pgMar w:top="1701" w:right="1133"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33" w:rsidRDefault="00295A33">
      <w:r>
        <w:separator/>
      </w:r>
    </w:p>
  </w:endnote>
  <w:endnote w:type="continuationSeparator" w:id="0">
    <w:p w:rsidR="00295A33" w:rsidRDefault="0029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pPr>
      <w:pStyle w:val="Fuzeile"/>
      <w:rPr>
        <w:szCs w:val="22"/>
      </w:rPr>
    </w:pPr>
    <w:r w:rsidRPr="007C6CFC">
      <w:rPr>
        <w:sz w:val="16"/>
        <w:szCs w:val="16"/>
      </w:rPr>
      <w:tab/>
    </w:r>
    <w:r w:rsidRPr="007C6CFC">
      <w:rPr>
        <w:szCs w:val="22"/>
      </w:rPr>
      <w:t xml:space="preserve">- </w:t>
    </w:r>
    <w:r w:rsidRPr="007C6CFC">
      <w:rPr>
        <w:szCs w:val="22"/>
      </w:rPr>
      <w:fldChar w:fldCharType="begin"/>
    </w:r>
    <w:r w:rsidRPr="007C6CFC">
      <w:rPr>
        <w:szCs w:val="22"/>
      </w:rPr>
      <w:instrText xml:space="preserve"> PAGE </w:instrText>
    </w:r>
    <w:r w:rsidRPr="007C6CFC">
      <w:rPr>
        <w:szCs w:val="22"/>
      </w:rPr>
      <w:fldChar w:fldCharType="separate"/>
    </w:r>
    <w:r w:rsidR="00672BE8">
      <w:rPr>
        <w:noProof/>
        <w:szCs w:val="22"/>
      </w:rPr>
      <w:t>3</w:t>
    </w:r>
    <w:r w:rsidRPr="007C6CFC">
      <w:rPr>
        <w:szCs w:val="22"/>
      </w:rPr>
      <w:fldChar w:fldCharType="end"/>
    </w:r>
    <w:r w:rsidRPr="007C6CFC">
      <w:rPr>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rsidP="00BC0955">
    <w:pPr>
      <w:pStyle w:val="Fuzeile"/>
      <w:rPr>
        <w:snapToGrid w:val="0"/>
        <w:color w:val="000000"/>
        <w:szCs w:val="22"/>
        <w:u w:color="000000"/>
      </w:rPr>
    </w:pPr>
    <w:r>
      <w:rPr>
        <w:snapToGrid w:val="0"/>
        <w:color w:val="000000"/>
        <w:sz w:val="16"/>
        <w:szCs w:val="16"/>
        <w:u w:color="000000"/>
      </w:rPr>
      <w:tab/>
    </w:r>
    <w:r w:rsidRPr="007C6CFC">
      <w:rPr>
        <w:snapToGrid w:val="0"/>
        <w:color w:val="000000"/>
        <w:szCs w:val="22"/>
        <w:u w:color="000000"/>
      </w:rPr>
      <w:t xml:space="preserve">- </w:t>
    </w:r>
    <w:r w:rsidRPr="007C6CFC">
      <w:rPr>
        <w:snapToGrid w:val="0"/>
        <w:color w:val="000000"/>
        <w:szCs w:val="22"/>
        <w:u w:color="000000"/>
      </w:rPr>
      <w:fldChar w:fldCharType="begin"/>
    </w:r>
    <w:r w:rsidRPr="007C6CFC">
      <w:rPr>
        <w:snapToGrid w:val="0"/>
        <w:color w:val="000000"/>
        <w:szCs w:val="22"/>
        <w:u w:color="000000"/>
      </w:rPr>
      <w:instrText xml:space="preserve"> PAGE </w:instrText>
    </w:r>
    <w:r w:rsidRPr="007C6CFC">
      <w:rPr>
        <w:snapToGrid w:val="0"/>
        <w:color w:val="000000"/>
        <w:szCs w:val="22"/>
        <w:u w:color="000000"/>
      </w:rPr>
      <w:fldChar w:fldCharType="separate"/>
    </w:r>
    <w:r w:rsidR="00672BE8">
      <w:rPr>
        <w:noProof/>
        <w:snapToGrid w:val="0"/>
        <w:color w:val="000000"/>
        <w:szCs w:val="22"/>
        <w:u w:color="000000"/>
      </w:rPr>
      <w:t>1</w:t>
    </w:r>
    <w:r w:rsidRPr="007C6CFC">
      <w:rPr>
        <w:snapToGrid w:val="0"/>
        <w:color w:val="000000"/>
        <w:szCs w:val="22"/>
        <w:u w:color="000000"/>
      </w:rPr>
      <w:fldChar w:fldCharType="end"/>
    </w:r>
    <w:r w:rsidRPr="007C6CFC">
      <w:rPr>
        <w:snapToGrid w:val="0"/>
        <w:color w:val="000000"/>
        <w:szCs w:val="22"/>
        <w:u w:color="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33" w:rsidRDefault="00295A33">
      <w:r>
        <w:separator/>
      </w:r>
    </w:p>
  </w:footnote>
  <w:footnote w:type="continuationSeparator" w:id="0">
    <w:p w:rsidR="00295A33" w:rsidRDefault="0029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81262C" w:rsidRDefault="00295A33" w:rsidP="00F0083F">
    <w:pPr>
      <w:pStyle w:val="Kopfzeile"/>
      <w:tabs>
        <w:tab w:val="clear" w:pos="9072"/>
        <w:tab w:val="right" w:pos="9498"/>
      </w:tabs>
      <w:jc w:val="right"/>
    </w:pPr>
    <w:r>
      <w:rPr>
        <w:noProof/>
        <w:lang w:val="de-AT" w:eastAsia="de-AT"/>
      </w:rPr>
      <w:drawing>
        <wp:anchor distT="0" distB="0" distL="114300" distR="114300" simplePos="0" relativeHeight="251657728" behindDoc="0" locked="1" layoutInCell="1" allowOverlap="1" wp14:anchorId="252BD5FA" wp14:editId="1DBC96D6">
          <wp:simplePos x="0" y="0"/>
          <wp:positionH relativeFrom="page">
            <wp:posOffset>4859655</wp:posOffset>
          </wp:positionH>
          <wp:positionV relativeFrom="page">
            <wp:posOffset>197485</wp:posOffset>
          </wp:positionV>
          <wp:extent cx="2210435" cy="861695"/>
          <wp:effectExtent l="1905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0435" cy="8616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A7C"/>
    <w:multiLevelType w:val="hybridMultilevel"/>
    <w:tmpl w:val="ADBECCE0"/>
    <w:lvl w:ilvl="0" w:tplc="0C070013">
      <w:start w:val="1"/>
      <w:numFmt w:val="upperRoman"/>
      <w:lvlText w:val="%1."/>
      <w:lvlJc w:val="righ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nsid w:val="08B82C7E"/>
    <w:multiLevelType w:val="hybridMultilevel"/>
    <w:tmpl w:val="4B56974E"/>
    <w:lvl w:ilvl="0" w:tplc="93886BE2">
      <w:start w:val="3"/>
      <w:numFmt w:val="bullet"/>
      <w:lvlText w:val="-"/>
      <w:lvlJc w:val="left"/>
      <w:pPr>
        <w:ind w:left="720" w:hanging="360"/>
      </w:pPr>
      <w:rPr>
        <w:rFonts w:ascii="Consolas" w:eastAsiaTheme="minorHAnsi" w:hAnsi="Consolas" w:cs="Consola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A2C73A7"/>
    <w:multiLevelType w:val="hybridMultilevel"/>
    <w:tmpl w:val="3F0C2284"/>
    <w:lvl w:ilvl="0" w:tplc="0C070001">
      <w:start w:val="1"/>
      <w:numFmt w:val="bullet"/>
      <w:lvlText w:val=""/>
      <w:lvlJc w:val="left"/>
      <w:pPr>
        <w:ind w:left="2844" w:hanging="360"/>
      </w:pPr>
      <w:rPr>
        <w:rFonts w:ascii="Symbol" w:hAnsi="Symbol" w:hint="default"/>
      </w:rPr>
    </w:lvl>
    <w:lvl w:ilvl="1" w:tplc="0C070003" w:tentative="1">
      <w:start w:val="1"/>
      <w:numFmt w:val="bullet"/>
      <w:lvlText w:val="o"/>
      <w:lvlJc w:val="left"/>
      <w:pPr>
        <w:ind w:left="3564" w:hanging="360"/>
      </w:pPr>
      <w:rPr>
        <w:rFonts w:ascii="Courier New" w:hAnsi="Courier New" w:hint="default"/>
      </w:rPr>
    </w:lvl>
    <w:lvl w:ilvl="2" w:tplc="0C070005" w:tentative="1">
      <w:start w:val="1"/>
      <w:numFmt w:val="bullet"/>
      <w:lvlText w:val=""/>
      <w:lvlJc w:val="left"/>
      <w:pPr>
        <w:ind w:left="4284" w:hanging="360"/>
      </w:pPr>
      <w:rPr>
        <w:rFonts w:ascii="Wingdings" w:hAnsi="Wingdings" w:hint="default"/>
      </w:rPr>
    </w:lvl>
    <w:lvl w:ilvl="3" w:tplc="0C070001" w:tentative="1">
      <w:start w:val="1"/>
      <w:numFmt w:val="bullet"/>
      <w:lvlText w:val=""/>
      <w:lvlJc w:val="left"/>
      <w:pPr>
        <w:ind w:left="5004" w:hanging="360"/>
      </w:pPr>
      <w:rPr>
        <w:rFonts w:ascii="Symbol" w:hAnsi="Symbol" w:hint="default"/>
      </w:rPr>
    </w:lvl>
    <w:lvl w:ilvl="4" w:tplc="0C070003" w:tentative="1">
      <w:start w:val="1"/>
      <w:numFmt w:val="bullet"/>
      <w:lvlText w:val="o"/>
      <w:lvlJc w:val="left"/>
      <w:pPr>
        <w:ind w:left="5724" w:hanging="360"/>
      </w:pPr>
      <w:rPr>
        <w:rFonts w:ascii="Courier New" w:hAnsi="Courier New" w:hint="default"/>
      </w:rPr>
    </w:lvl>
    <w:lvl w:ilvl="5" w:tplc="0C070005" w:tentative="1">
      <w:start w:val="1"/>
      <w:numFmt w:val="bullet"/>
      <w:lvlText w:val=""/>
      <w:lvlJc w:val="left"/>
      <w:pPr>
        <w:ind w:left="6444" w:hanging="360"/>
      </w:pPr>
      <w:rPr>
        <w:rFonts w:ascii="Wingdings" w:hAnsi="Wingdings" w:hint="default"/>
      </w:rPr>
    </w:lvl>
    <w:lvl w:ilvl="6" w:tplc="0C070001" w:tentative="1">
      <w:start w:val="1"/>
      <w:numFmt w:val="bullet"/>
      <w:lvlText w:val=""/>
      <w:lvlJc w:val="left"/>
      <w:pPr>
        <w:ind w:left="7164" w:hanging="360"/>
      </w:pPr>
      <w:rPr>
        <w:rFonts w:ascii="Symbol" w:hAnsi="Symbol" w:hint="default"/>
      </w:rPr>
    </w:lvl>
    <w:lvl w:ilvl="7" w:tplc="0C070003" w:tentative="1">
      <w:start w:val="1"/>
      <w:numFmt w:val="bullet"/>
      <w:lvlText w:val="o"/>
      <w:lvlJc w:val="left"/>
      <w:pPr>
        <w:ind w:left="7884" w:hanging="360"/>
      </w:pPr>
      <w:rPr>
        <w:rFonts w:ascii="Courier New" w:hAnsi="Courier New" w:hint="default"/>
      </w:rPr>
    </w:lvl>
    <w:lvl w:ilvl="8" w:tplc="0C070005" w:tentative="1">
      <w:start w:val="1"/>
      <w:numFmt w:val="bullet"/>
      <w:lvlText w:val=""/>
      <w:lvlJc w:val="left"/>
      <w:pPr>
        <w:ind w:left="8604" w:hanging="360"/>
      </w:pPr>
      <w:rPr>
        <w:rFonts w:ascii="Wingdings" w:hAnsi="Wingdings" w:hint="default"/>
      </w:rPr>
    </w:lvl>
  </w:abstractNum>
  <w:abstractNum w:abstractNumId="3">
    <w:nsid w:val="0BA5631E"/>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056668F"/>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C145EF6"/>
    <w:multiLevelType w:val="hybridMultilevel"/>
    <w:tmpl w:val="35ECE8FA"/>
    <w:lvl w:ilvl="0" w:tplc="7EE214A4">
      <w:numFmt w:val="bullet"/>
      <w:lvlText w:val="-"/>
      <w:lvlJc w:val="left"/>
      <w:pPr>
        <w:ind w:left="360" w:hanging="360"/>
      </w:pPr>
      <w:rPr>
        <w:rFonts w:ascii="Calibri" w:eastAsiaTheme="minorHAnsi" w:hAnsi="Calibri" w:cstheme="minorBidi" w:hint="default"/>
      </w:rPr>
    </w:lvl>
    <w:lvl w:ilvl="1" w:tplc="0C070003">
      <w:start w:val="1"/>
      <w:numFmt w:val="bullet"/>
      <w:lvlText w:val="o"/>
      <w:lvlJc w:val="left"/>
      <w:pPr>
        <w:ind w:left="1222" w:hanging="360"/>
      </w:pPr>
      <w:rPr>
        <w:rFonts w:ascii="Courier New" w:hAnsi="Courier New" w:cs="Courier New" w:hint="default"/>
      </w:rPr>
    </w:lvl>
    <w:lvl w:ilvl="2" w:tplc="0C070005">
      <w:start w:val="1"/>
      <w:numFmt w:val="bullet"/>
      <w:lvlText w:val=""/>
      <w:lvlJc w:val="left"/>
      <w:pPr>
        <w:ind w:left="1636"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nsid w:val="2179500E"/>
    <w:multiLevelType w:val="hybridMultilevel"/>
    <w:tmpl w:val="01AEC23E"/>
    <w:lvl w:ilvl="0" w:tplc="0C070011">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nsid w:val="23995024"/>
    <w:multiLevelType w:val="hybridMultilevel"/>
    <w:tmpl w:val="4DD8AE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6141567"/>
    <w:multiLevelType w:val="hybridMultilevel"/>
    <w:tmpl w:val="64FA4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BB56EC9"/>
    <w:multiLevelType w:val="hybridMultilevel"/>
    <w:tmpl w:val="538A464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400D66BE"/>
    <w:multiLevelType w:val="hybridMultilevel"/>
    <w:tmpl w:val="ABBAAB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1686A47"/>
    <w:multiLevelType w:val="hybridMultilevel"/>
    <w:tmpl w:val="C130EB18"/>
    <w:lvl w:ilvl="0" w:tplc="06C87BB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4534281E"/>
    <w:multiLevelType w:val="hybridMultilevel"/>
    <w:tmpl w:val="C2C0E2B8"/>
    <w:lvl w:ilvl="0" w:tplc="F31C391C">
      <w:start w:val="1"/>
      <w:numFmt w:val="upperRoman"/>
      <w:lvlText w:val="%1."/>
      <w:lvlJc w:val="left"/>
      <w:pPr>
        <w:ind w:left="1080" w:hanging="72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47F25788"/>
    <w:multiLevelType w:val="hybridMultilevel"/>
    <w:tmpl w:val="17E02B80"/>
    <w:lvl w:ilvl="0" w:tplc="0C070001">
      <w:start w:val="1"/>
      <w:numFmt w:val="bullet"/>
      <w:lvlText w:val=""/>
      <w:lvlJc w:val="left"/>
      <w:pPr>
        <w:ind w:left="2421" w:hanging="360"/>
      </w:pPr>
      <w:rPr>
        <w:rFonts w:ascii="Symbol" w:hAnsi="Symbol" w:hint="default"/>
      </w:rPr>
    </w:lvl>
    <w:lvl w:ilvl="1" w:tplc="0C070003" w:tentative="1">
      <w:start w:val="1"/>
      <w:numFmt w:val="bullet"/>
      <w:lvlText w:val="o"/>
      <w:lvlJc w:val="left"/>
      <w:pPr>
        <w:ind w:left="3141" w:hanging="360"/>
      </w:pPr>
      <w:rPr>
        <w:rFonts w:ascii="Courier New" w:hAnsi="Courier New" w:hint="default"/>
      </w:rPr>
    </w:lvl>
    <w:lvl w:ilvl="2" w:tplc="0C070005" w:tentative="1">
      <w:start w:val="1"/>
      <w:numFmt w:val="bullet"/>
      <w:lvlText w:val=""/>
      <w:lvlJc w:val="left"/>
      <w:pPr>
        <w:ind w:left="3861" w:hanging="360"/>
      </w:pPr>
      <w:rPr>
        <w:rFonts w:ascii="Wingdings" w:hAnsi="Wingdings" w:hint="default"/>
      </w:rPr>
    </w:lvl>
    <w:lvl w:ilvl="3" w:tplc="0C070001" w:tentative="1">
      <w:start w:val="1"/>
      <w:numFmt w:val="bullet"/>
      <w:lvlText w:val=""/>
      <w:lvlJc w:val="left"/>
      <w:pPr>
        <w:ind w:left="4581" w:hanging="360"/>
      </w:pPr>
      <w:rPr>
        <w:rFonts w:ascii="Symbol" w:hAnsi="Symbol" w:hint="default"/>
      </w:rPr>
    </w:lvl>
    <w:lvl w:ilvl="4" w:tplc="0C070003" w:tentative="1">
      <w:start w:val="1"/>
      <w:numFmt w:val="bullet"/>
      <w:lvlText w:val="o"/>
      <w:lvlJc w:val="left"/>
      <w:pPr>
        <w:ind w:left="5301" w:hanging="360"/>
      </w:pPr>
      <w:rPr>
        <w:rFonts w:ascii="Courier New" w:hAnsi="Courier New" w:hint="default"/>
      </w:rPr>
    </w:lvl>
    <w:lvl w:ilvl="5" w:tplc="0C070005" w:tentative="1">
      <w:start w:val="1"/>
      <w:numFmt w:val="bullet"/>
      <w:lvlText w:val=""/>
      <w:lvlJc w:val="left"/>
      <w:pPr>
        <w:ind w:left="6021" w:hanging="360"/>
      </w:pPr>
      <w:rPr>
        <w:rFonts w:ascii="Wingdings" w:hAnsi="Wingdings" w:hint="default"/>
      </w:rPr>
    </w:lvl>
    <w:lvl w:ilvl="6" w:tplc="0C070001" w:tentative="1">
      <w:start w:val="1"/>
      <w:numFmt w:val="bullet"/>
      <w:lvlText w:val=""/>
      <w:lvlJc w:val="left"/>
      <w:pPr>
        <w:ind w:left="6741" w:hanging="360"/>
      </w:pPr>
      <w:rPr>
        <w:rFonts w:ascii="Symbol" w:hAnsi="Symbol" w:hint="default"/>
      </w:rPr>
    </w:lvl>
    <w:lvl w:ilvl="7" w:tplc="0C070003" w:tentative="1">
      <w:start w:val="1"/>
      <w:numFmt w:val="bullet"/>
      <w:lvlText w:val="o"/>
      <w:lvlJc w:val="left"/>
      <w:pPr>
        <w:ind w:left="7461" w:hanging="360"/>
      </w:pPr>
      <w:rPr>
        <w:rFonts w:ascii="Courier New" w:hAnsi="Courier New" w:hint="default"/>
      </w:rPr>
    </w:lvl>
    <w:lvl w:ilvl="8" w:tplc="0C070005" w:tentative="1">
      <w:start w:val="1"/>
      <w:numFmt w:val="bullet"/>
      <w:lvlText w:val=""/>
      <w:lvlJc w:val="left"/>
      <w:pPr>
        <w:ind w:left="8181" w:hanging="360"/>
      </w:pPr>
      <w:rPr>
        <w:rFonts w:ascii="Wingdings" w:hAnsi="Wingdings" w:hint="default"/>
      </w:rPr>
    </w:lvl>
  </w:abstractNum>
  <w:abstractNum w:abstractNumId="14">
    <w:nsid w:val="506C7420"/>
    <w:multiLevelType w:val="multilevel"/>
    <w:tmpl w:val="A27E6A3A"/>
    <w:name w:val="zzmpVIE2||VIE2 kurz, bl|2|3|0|1|2|33||1|2|0||1|2|0||1|2|0||mpNA||mpNA||mpNA||mpNA||mpNA||"/>
    <w:lvl w:ilvl="0">
      <w:start w:val="1"/>
      <w:numFmt w:val="decimal"/>
      <w:pStyle w:val="VIE2L1"/>
      <w:lvlText w:val="%1."/>
      <w:lvlJc w:val="left"/>
      <w:pPr>
        <w:tabs>
          <w:tab w:val="num" w:pos="720"/>
        </w:tabs>
        <w:ind w:left="720" w:hanging="720"/>
      </w:pPr>
      <w:rPr>
        <w:b/>
        <w:i w:val="0"/>
        <w:caps w:val="0"/>
        <w:strike w:val="0"/>
        <w:dstrike w:val="0"/>
        <w:u w:val="none"/>
        <w:effect w:val="none"/>
      </w:rPr>
    </w:lvl>
    <w:lvl w:ilvl="1">
      <w:start w:val="1"/>
      <w:numFmt w:val="decimal"/>
      <w:pStyle w:val="VIE2L2"/>
      <w:isLgl/>
      <w:lvlText w:val="%1.%2"/>
      <w:lvlJc w:val="left"/>
      <w:pPr>
        <w:tabs>
          <w:tab w:val="num" w:pos="720"/>
        </w:tabs>
        <w:ind w:left="720" w:hanging="720"/>
      </w:pPr>
      <w:rPr>
        <w:b w:val="0"/>
        <w:i w:val="0"/>
        <w:caps w:val="0"/>
        <w:strike w:val="0"/>
        <w:dstrike w:val="0"/>
        <w:u w:val="none"/>
        <w:effect w:val="none"/>
      </w:rPr>
    </w:lvl>
    <w:lvl w:ilvl="2">
      <w:start w:val="1"/>
      <w:numFmt w:val="lowerLetter"/>
      <w:pStyle w:val="VIE2L3"/>
      <w:lvlText w:val="(%3)"/>
      <w:lvlJc w:val="left"/>
      <w:pPr>
        <w:tabs>
          <w:tab w:val="num" w:pos="1440"/>
        </w:tabs>
        <w:ind w:left="1440" w:hanging="720"/>
      </w:pPr>
      <w:rPr>
        <w:b w:val="0"/>
        <w:i w:val="0"/>
        <w:caps w:val="0"/>
        <w:strike w:val="0"/>
        <w:dstrike w:val="0"/>
        <w:u w:val="none"/>
        <w:effect w:val="none"/>
      </w:rPr>
    </w:lvl>
    <w:lvl w:ilvl="3">
      <w:start w:val="1"/>
      <w:numFmt w:val="lowerRoman"/>
      <w:pStyle w:val="VIE2L4"/>
      <w:lvlText w:val="(%4)"/>
      <w:lvlJc w:val="left"/>
      <w:pPr>
        <w:tabs>
          <w:tab w:val="num" w:pos="1440"/>
        </w:tabs>
        <w:ind w:left="1440" w:hanging="720"/>
      </w:pPr>
      <w:rPr>
        <w:b w:val="0"/>
        <w:i w:val="0"/>
        <w:caps w:val="0"/>
        <w:strike w:val="0"/>
        <w:dstrike w:val="0"/>
        <w:color w:val="auto"/>
        <w:u w:val="none"/>
        <w:effect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2E35BE"/>
    <w:multiLevelType w:val="hybridMultilevel"/>
    <w:tmpl w:val="D4F8C71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5C5A256E"/>
    <w:multiLevelType w:val="hybridMultilevel"/>
    <w:tmpl w:val="AE36FD9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nsid w:val="635A368B"/>
    <w:multiLevelType w:val="hybridMultilevel"/>
    <w:tmpl w:val="E692F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B3D3228"/>
    <w:multiLevelType w:val="hybridMultilevel"/>
    <w:tmpl w:val="FB34861E"/>
    <w:lvl w:ilvl="0" w:tplc="CB02868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9">
    <w:nsid w:val="7F43724C"/>
    <w:multiLevelType w:val="hybridMultilevel"/>
    <w:tmpl w:val="90847A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18"/>
  </w:num>
  <w:num w:numId="9">
    <w:abstractNumId w:val="17"/>
  </w:num>
  <w:num w:numId="10">
    <w:abstractNumId w:val="4"/>
  </w:num>
  <w:num w:numId="11">
    <w:abstractNumId w:val="1"/>
  </w:num>
  <w:num w:numId="12">
    <w:abstractNumId w:val="7"/>
  </w:num>
  <w:num w:numId="13">
    <w:abstractNumId w:val="3"/>
  </w:num>
  <w:num w:numId="14">
    <w:abstractNumId w:val="16"/>
  </w:num>
  <w:num w:numId="15">
    <w:abstractNumId w:val="19"/>
  </w:num>
  <w:num w:numId="16">
    <w:abstractNumId w:val="9"/>
  </w:num>
  <w:num w:numId="17">
    <w:abstractNumId w:val="0"/>
  </w:num>
  <w:num w:numId="18">
    <w:abstractNumId w:val="6"/>
  </w:num>
  <w:num w:numId="19">
    <w:abstractNumId w:val="11"/>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2C"/>
    <w:rsid w:val="0000192C"/>
    <w:rsid w:val="00002869"/>
    <w:rsid w:val="00002AE3"/>
    <w:rsid w:val="00022162"/>
    <w:rsid w:val="00022E3E"/>
    <w:rsid w:val="00027D5E"/>
    <w:rsid w:val="000345E6"/>
    <w:rsid w:val="00034E26"/>
    <w:rsid w:val="0003734B"/>
    <w:rsid w:val="00037FE2"/>
    <w:rsid w:val="00047215"/>
    <w:rsid w:val="00060833"/>
    <w:rsid w:val="00064C5A"/>
    <w:rsid w:val="0007255B"/>
    <w:rsid w:val="00081515"/>
    <w:rsid w:val="00081E90"/>
    <w:rsid w:val="00082236"/>
    <w:rsid w:val="0009402A"/>
    <w:rsid w:val="000B445F"/>
    <w:rsid w:val="000B72BC"/>
    <w:rsid w:val="000B743B"/>
    <w:rsid w:val="000C2A7F"/>
    <w:rsid w:val="000C7E1D"/>
    <w:rsid w:val="000D3944"/>
    <w:rsid w:val="000E264C"/>
    <w:rsid w:val="000E50B4"/>
    <w:rsid w:val="0010363C"/>
    <w:rsid w:val="00105589"/>
    <w:rsid w:val="001072DF"/>
    <w:rsid w:val="001100E8"/>
    <w:rsid w:val="001157FD"/>
    <w:rsid w:val="00122243"/>
    <w:rsid w:val="001231B3"/>
    <w:rsid w:val="001266AB"/>
    <w:rsid w:val="00135B33"/>
    <w:rsid w:val="00137D1A"/>
    <w:rsid w:val="00140840"/>
    <w:rsid w:val="00142215"/>
    <w:rsid w:val="00145075"/>
    <w:rsid w:val="00154A68"/>
    <w:rsid w:val="00154B0A"/>
    <w:rsid w:val="0015559A"/>
    <w:rsid w:val="001628C5"/>
    <w:rsid w:val="001669D8"/>
    <w:rsid w:val="00166A32"/>
    <w:rsid w:val="00181BC8"/>
    <w:rsid w:val="001829FA"/>
    <w:rsid w:val="00185ED2"/>
    <w:rsid w:val="00190AE7"/>
    <w:rsid w:val="001914C7"/>
    <w:rsid w:val="001B326E"/>
    <w:rsid w:val="001B472D"/>
    <w:rsid w:val="001B75C9"/>
    <w:rsid w:val="001D493B"/>
    <w:rsid w:val="001D7741"/>
    <w:rsid w:val="001D7E2A"/>
    <w:rsid w:val="001E5A71"/>
    <w:rsid w:val="001F1973"/>
    <w:rsid w:val="00201BA1"/>
    <w:rsid w:val="002038DC"/>
    <w:rsid w:val="00203C40"/>
    <w:rsid w:val="00206C50"/>
    <w:rsid w:val="00212962"/>
    <w:rsid w:val="002138E8"/>
    <w:rsid w:val="002150FD"/>
    <w:rsid w:val="00215A3D"/>
    <w:rsid w:val="00222E53"/>
    <w:rsid w:val="00222F24"/>
    <w:rsid w:val="00230DE4"/>
    <w:rsid w:val="00230F3E"/>
    <w:rsid w:val="00237B76"/>
    <w:rsid w:val="00243539"/>
    <w:rsid w:val="00253D85"/>
    <w:rsid w:val="00255015"/>
    <w:rsid w:val="0026741D"/>
    <w:rsid w:val="00283AD0"/>
    <w:rsid w:val="0028735C"/>
    <w:rsid w:val="00287BC7"/>
    <w:rsid w:val="0029417F"/>
    <w:rsid w:val="00295A33"/>
    <w:rsid w:val="00295EBD"/>
    <w:rsid w:val="002C1CDC"/>
    <w:rsid w:val="002D424B"/>
    <w:rsid w:val="002D4EDD"/>
    <w:rsid w:val="002E2DD9"/>
    <w:rsid w:val="002E5502"/>
    <w:rsid w:val="00300864"/>
    <w:rsid w:val="003058F8"/>
    <w:rsid w:val="0031542A"/>
    <w:rsid w:val="00322AE6"/>
    <w:rsid w:val="00324CBF"/>
    <w:rsid w:val="00330879"/>
    <w:rsid w:val="00340F56"/>
    <w:rsid w:val="0034723E"/>
    <w:rsid w:val="00352BEC"/>
    <w:rsid w:val="0036014E"/>
    <w:rsid w:val="003629A3"/>
    <w:rsid w:val="00371EC8"/>
    <w:rsid w:val="0038214C"/>
    <w:rsid w:val="00390AFC"/>
    <w:rsid w:val="00394D41"/>
    <w:rsid w:val="003A3AED"/>
    <w:rsid w:val="003B493B"/>
    <w:rsid w:val="003B6FDA"/>
    <w:rsid w:val="003B7FC8"/>
    <w:rsid w:val="003C1D0A"/>
    <w:rsid w:val="003E2214"/>
    <w:rsid w:val="003E4A87"/>
    <w:rsid w:val="003E775F"/>
    <w:rsid w:val="003F04D5"/>
    <w:rsid w:val="003F7E1B"/>
    <w:rsid w:val="004076E5"/>
    <w:rsid w:val="00410C22"/>
    <w:rsid w:val="00413A5E"/>
    <w:rsid w:val="00422F18"/>
    <w:rsid w:val="00423258"/>
    <w:rsid w:val="0042491E"/>
    <w:rsid w:val="00426E66"/>
    <w:rsid w:val="004414C5"/>
    <w:rsid w:val="004501DA"/>
    <w:rsid w:val="00450541"/>
    <w:rsid w:val="00456578"/>
    <w:rsid w:val="00461E46"/>
    <w:rsid w:val="004639B4"/>
    <w:rsid w:val="0046510E"/>
    <w:rsid w:val="004660A0"/>
    <w:rsid w:val="00471CAF"/>
    <w:rsid w:val="0049380D"/>
    <w:rsid w:val="00495FD1"/>
    <w:rsid w:val="004A5E30"/>
    <w:rsid w:val="004B5017"/>
    <w:rsid w:val="004C3F26"/>
    <w:rsid w:val="004E3797"/>
    <w:rsid w:val="004E3F8D"/>
    <w:rsid w:val="004F2117"/>
    <w:rsid w:val="004F716A"/>
    <w:rsid w:val="0050486A"/>
    <w:rsid w:val="00505288"/>
    <w:rsid w:val="00515614"/>
    <w:rsid w:val="0052008F"/>
    <w:rsid w:val="00526668"/>
    <w:rsid w:val="00526735"/>
    <w:rsid w:val="00535EEE"/>
    <w:rsid w:val="005428AB"/>
    <w:rsid w:val="00546DF6"/>
    <w:rsid w:val="00547E82"/>
    <w:rsid w:val="00552476"/>
    <w:rsid w:val="00564015"/>
    <w:rsid w:val="00565278"/>
    <w:rsid w:val="0057254C"/>
    <w:rsid w:val="005736F9"/>
    <w:rsid w:val="005874F6"/>
    <w:rsid w:val="00591A98"/>
    <w:rsid w:val="005B5707"/>
    <w:rsid w:val="005B5AD8"/>
    <w:rsid w:val="005C0A2B"/>
    <w:rsid w:val="005C40BB"/>
    <w:rsid w:val="005D1823"/>
    <w:rsid w:val="005D3F1D"/>
    <w:rsid w:val="005E1BA6"/>
    <w:rsid w:val="005E3AAF"/>
    <w:rsid w:val="005F0908"/>
    <w:rsid w:val="005F3730"/>
    <w:rsid w:val="005F3C37"/>
    <w:rsid w:val="005F6F88"/>
    <w:rsid w:val="00601398"/>
    <w:rsid w:val="00612894"/>
    <w:rsid w:val="0062389E"/>
    <w:rsid w:val="00650A4A"/>
    <w:rsid w:val="006641EF"/>
    <w:rsid w:val="00666C97"/>
    <w:rsid w:val="00672BE8"/>
    <w:rsid w:val="006842B3"/>
    <w:rsid w:val="00685127"/>
    <w:rsid w:val="006950F7"/>
    <w:rsid w:val="006A6CFB"/>
    <w:rsid w:val="006A70A2"/>
    <w:rsid w:val="006B3DEE"/>
    <w:rsid w:val="006C2795"/>
    <w:rsid w:val="006C2B9A"/>
    <w:rsid w:val="006C4B6E"/>
    <w:rsid w:val="006C708A"/>
    <w:rsid w:val="006D4937"/>
    <w:rsid w:val="006D5C3A"/>
    <w:rsid w:val="006E173F"/>
    <w:rsid w:val="006E4A35"/>
    <w:rsid w:val="006E4B16"/>
    <w:rsid w:val="006E65D9"/>
    <w:rsid w:val="00700ED1"/>
    <w:rsid w:val="00715FEB"/>
    <w:rsid w:val="007260F4"/>
    <w:rsid w:val="00732C5E"/>
    <w:rsid w:val="00734266"/>
    <w:rsid w:val="00737196"/>
    <w:rsid w:val="00737203"/>
    <w:rsid w:val="0074664B"/>
    <w:rsid w:val="00761AFE"/>
    <w:rsid w:val="007649D7"/>
    <w:rsid w:val="007675FD"/>
    <w:rsid w:val="00771D3C"/>
    <w:rsid w:val="0077291D"/>
    <w:rsid w:val="00777764"/>
    <w:rsid w:val="0078559D"/>
    <w:rsid w:val="007A0876"/>
    <w:rsid w:val="007A0E8D"/>
    <w:rsid w:val="007A5C00"/>
    <w:rsid w:val="007A66C5"/>
    <w:rsid w:val="007B301F"/>
    <w:rsid w:val="007B5A8C"/>
    <w:rsid w:val="007B63BB"/>
    <w:rsid w:val="007B7B12"/>
    <w:rsid w:val="007C06B1"/>
    <w:rsid w:val="007C6CFC"/>
    <w:rsid w:val="007C7134"/>
    <w:rsid w:val="007E49FA"/>
    <w:rsid w:val="007E5B2E"/>
    <w:rsid w:val="007F0E88"/>
    <w:rsid w:val="007F1369"/>
    <w:rsid w:val="007F3BC5"/>
    <w:rsid w:val="00803E9D"/>
    <w:rsid w:val="00806F9F"/>
    <w:rsid w:val="0081262C"/>
    <w:rsid w:val="00815543"/>
    <w:rsid w:val="00815EF0"/>
    <w:rsid w:val="008166CA"/>
    <w:rsid w:val="00817A25"/>
    <w:rsid w:val="008220E6"/>
    <w:rsid w:val="008235D3"/>
    <w:rsid w:val="0083509D"/>
    <w:rsid w:val="008367D4"/>
    <w:rsid w:val="00840D12"/>
    <w:rsid w:val="00845592"/>
    <w:rsid w:val="0085027F"/>
    <w:rsid w:val="00850ED8"/>
    <w:rsid w:val="00865AEA"/>
    <w:rsid w:val="0087314E"/>
    <w:rsid w:val="0087723A"/>
    <w:rsid w:val="00891282"/>
    <w:rsid w:val="00892909"/>
    <w:rsid w:val="008954E9"/>
    <w:rsid w:val="008C27E5"/>
    <w:rsid w:val="008C2809"/>
    <w:rsid w:val="008C48B6"/>
    <w:rsid w:val="008D19D9"/>
    <w:rsid w:val="008E69FC"/>
    <w:rsid w:val="008F2BCA"/>
    <w:rsid w:val="008F3D21"/>
    <w:rsid w:val="0090014C"/>
    <w:rsid w:val="00902309"/>
    <w:rsid w:val="0091341A"/>
    <w:rsid w:val="009233A8"/>
    <w:rsid w:val="0092680A"/>
    <w:rsid w:val="00927A25"/>
    <w:rsid w:val="00945373"/>
    <w:rsid w:val="0094573F"/>
    <w:rsid w:val="00952EF8"/>
    <w:rsid w:val="00955061"/>
    <w:rsid w:val="00971425"/>
    <w:rsid w:val="00981BE4"/>
    <w:rsid w:val="0098417F"/>
    <w:rsid w:val="009845AD"/>
    <w:rsid w:val="009924AB"/>
    <w:rsid w:val="00994063"/>
    <w:rsid w:val="009A6323"/>
    <w:rsid w:val="009B4685"/>
    <w:rsid w:val="009C25A0"/>
    <w:rsid w:val="009C2649"/>
    <w:rsid w:val="009C4BD6"/>
    <w:rsid w:val="009E6514"/>
    <w:rsid w:val="009F0A81"/>
    <w:rsid w:val="009F2828"/>
    <w:rsid w:val="00A012D7"/>
    <w:rsid w:val="00A01CFD"/>
    <w:rsid w:val="00A0356E"/>
    <w:rsid w:val="00A11D27"/>
    <w:rsid w:val="00A17DE8"/>
    <w:rsid w:val="00A22F7C"/>
    <w:rsid w:val="00A30DEB"/>
    <w:rsid w:val="00A4252A"/>
    <w:rsid w:val="00A429D4"/>
    <w:rsid w:val="00A44D9F"/>
    <w:rsid w:val="00A51D85"/>
    <w:rsid w:val="00A5773B"/>
    <w:rsid w:val="00A616A3"/>
    <w:rsid w:val="00A62335"/>
    <w:rsid w:val="00A80280"/>
    <w:rsid w:val="00A854B2"/>
    <w:rsid w:val="00A91644"/>
    <w:rsid w:val="00A937FD"/>
    <w:rsid w:val="00A959F8"/>
    <w:rsid w:val="00A978D6"/>
    <w:rsid w:val="00AA1606"/>
    <w:rsid w:val="00AA3155"/>
    <w:rsid w:val="00AB27E0"/>
    <w:rsid w:val="00AB6A97"/>
    <w:rsid w:val="00AB7B66"/>
    <w:rsid w:val="00AD3FEF"/>
    <w:rsid w:val="00AD5B1A"/>
    <w:rsid w:val="00AD62C1"/>
    <w:rsid w:val="00AE1C5F"/>
    <w:rsid w:val="00AF2229"/>
    <w:rsid w:val="00AF66BC"/>
    <w:rsid w:val="00AF6CB0"/>
    <w:rsid w:val="00AF6E41"/>
    <w:rsid w:val="00B05686"/>
    <w:rsid w:val="00B119FE"/>
    <w:rsid w:val="00B138AB"/>
    <w:rsid w:val="00B17B8E"/>
    <w:rsid w:val="00B17D6F"/>
    <w:rsid w:val="00B31CF0"/>
    <w:rsid w:val="00B33A8F"/>
    <w:rsid w:val="00B47517"/>
    <w:rsid w:val="00B57120"/>
    <w:rsid w:val="00B61253"/>
    <w:rsid w:val="00B64A59"/>
    <w:rsid w:val="00B709BB"/>
    <w:rsid w:val="00B817E4"/>
    <w:rsid w:val="00B827C7"/>
    <w:rsid w:val="00BA02A4"/>
    <w:rsid w:val="00BA20FA"/>
    <w:rsid w:val="00BC0955"/>
    <w:rsid w:val="00BC693D"/>
    <w:rsid w:val="00BD2A0B"/>
    <w:rsid w:val="00BD3F4F"/>
    <w:rsid w:val="00BD4A6C"/>
    <w:rsid w:val="00BF0F7C"/>
    <w:rsid w:val="00BF27D6"/>
    <w:rsid w:val="00C0007B"/>
    <w:rsid w:val="00C0405C"/>
    <w:rsid w:val="00C10B31"/>
    <w:rsid w:val="00C14C89"/>
    <w:rsid w:val="00C255FD"/>
    <w:rsid w:val="00C33ADB"/>
    <w:rsid w:val="00C37EC5"/>
    <w:rsid w:val="00C4504F"/>
    <w:rsid w:val="00C532A4"/>
    <w:rsid w:val="00C607BA"/>
    <w:rsid w:val="00C6657D"/>
    <w:rsid w:val="00C70879"/>
    <w:rsid w:val="00C72973"/>
    <w:rsid w:val="00C82127"/>
    <w:rsid w:val="00C82DD8"/>
    <w:rsid w:val="00C833E9"/>
    <w:rsid w:val="00C921B5"/>
    <w:rsid w:val="00C940A8"/>
    <w:rsid w:val="00C96514"/>
    <w:rsid w:val="00CA0FEE"/>
    <w:rsid w:val="00CB76DB"/>
    <w:rsid w:val="00CC563A"/>
    <w:rsid w:val="00CE63B1"/>
    <w:rsid w:val="00CF356C"/>
    <w:rsid w:val="00CF3664"/>
    <w:rsid w:val="00CF59D9"/>
    <w:rsid w:val="00D05A34"/>
    <w:rsid w:val="00D13267"/>
    <w:rsid w:val="00D26801"/>
    <w:rsid w:val="00D31CF6"/>
    <w:rsid w:val="00D372B6"/>
    <w:rsid w:val="00D37387"/>
    <w:rsid w:val="00D455B6"/>
    <w:rsid w:val="00D466B5"/>
    <w:rsid w:val="00D52EA1"/>
    <w:rsid w:val="00D55973"/>
    <w:rsid w:val="00D561E3"/>
    <w:rsid w:val="00D602D4"/>
    <w:rsid w:val="00D641CE"/>
    <w:rsid w:val="00D90E27"/>
    <w:rsid w:val="00D94527"/>
    <w:rsid w:val="00D95018"/>
    <w:rsid w:val="00D973D5"/>
    <w:rsid w:val="00DA0882"/>
    <w:rsid w:val="00DA093D"/>
    <w:rsid w:val="00DA6E3B"/>
    <w:rsid w:val="00DC505B"/>
    <w:rsid w:val="00DC6E67"/>
    <w:rsid w:val="00DE0E46"/>
    <w:rsid w:val="00DE6886"/>
    <w:rsid w:val="00E4709C"/>
    <w:rsid w:val="00E50A3B"/>
    <w:rsid w:val="00E559BE"/>
    <w:rsid w:val="00E73411"/>
    <w:rsid w:val="00E75A9F"/>
    <w:rsid w:val="00E761D4"/>
    <w:rsid w:val="00E779C2"/>
    <w:rsid w:val="00E83742"/>
    <w:rsid w:val="00E86690"/>
    <w:rsid w:val="00E91A24"/>
    <w:rsid w:val="00E94B72"/>
    <w:rsid w:val="00EA0873"/>
    <w:rsid w:val="00EA2407"/>
    <w:rsid w:val="00EB2DE1"/>
    <w:rsid w:val="00EB6FE5"/>
    <w:rsid w:val="00EC27D6"/>
    <w:rsid w:val="00EC2929"/>
    <w:rsid w:val="00EC6212"/>
    <w:rsid w:val="00ED2DD6"/>
    <w:rsid w:val="00ED6AF5"/>
    <w:rsid w:val="00F0083F"/>
    <w:rsid w:val="00F26632"/>
    <w:rsid w:val="00F309FC"/>
    <w:rsid w:val="00F32618"/>
    <w:rsid w:val="00F32E59"/>
    <w:rsid w:val="00F341DD"/>
    <w:rsid w:val="00F34255"/>
    <w:rsid w:val="00F500B2"/>
    <w:rsid w:val="00F63D39"/>
    <w:rsid w:val="00F75A6E"/>
    <w:rsid w:val="00F7743D"/>
    <w:rsid w:val="00F77D8B"/>
    <w:rsid w:val="00F87143"/>
    <w:rsid w:val="00F923F5"/>
    <w:rsid w:val="00F92824"/>
    <w:rsid w:val="00F9450E"/>
    <w:rsid w:val="00F94D42"/>
    <w:rsid w:val="00F95C0C"/>
    <w:rsid w:val="00F96BEF"/>
    <w:rsid w:val="00FB1CA4"/>
    <w:rsid w:val="00FB7E8C"/>
    <w:rsid w:val="00FC43AB"/>
    <w:rsid w:val="00FC77B2"/>
    <w:rsid w:val="00FD5274"/>
    <w:rsid w:val="00FE76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uiPriority w:val="59"/>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uiPriority w:val="59"/>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952">
      <w:bodyDiv w:val="1"/>
      <w:marLeft w:val="0"/>
      <w:marRight w:val="0"/>
      <w:marTop w:val="0"/>
      <w:marBottom w:val="0"/>
      <w:divBdr>
        <w:top w:val="none" w:sz="0" w:space="0" w:color="auto"/>
        <w:left w:val="none" w:sz="0" w:space="0" w:color="auto"/>
        <w:bottom w:val="none" w:sz="0" w:space="0" w:color="auto"/>
        <w:right w:val="none" w:sz="0" w:space="0" w:color="auto"/>
      </w:divBdr>
    </w:div>
    <w:div w:id="37320598">
      <w:bodyDiv w:val="1"/>
      <w:marLeft w:val="0"/>
      <w:marRight w:val="0"/>
      <w:marTop w:val="0"/>
      <w:marBottom w:val="0"/>
      <w:divBdr>
        <w:top w:val="none" w:sz="0" w:space="0" w:color="auto"/>
        <w:left w:val="none" w:sz="0" w:space="0" w:color="auto"/>
        <w:bottom w:val="none" w:sz="0" w:space="0" w:color="auto"/>
        <w:right w:val="none" w:sz="0" w:space="0" w:color="auto"/>
      </w:divBdr>
    </w:div>
    <w:div w:id="49966655">
      <w:bodyDiv w:val="1"/>
      <w:marLeft w:val="0"/>
      <w:marRight w:val="0"/>
      <w:marTop w:val="0"/>
      <w:marBottom w:val="0"/>
      <w:divBdr>
        <w:top w:val="none" w:sz="0" w:space="0" w:color="auto"/>
        <w:left w:val="none" w:sz="0" w:space="0" w:color="auto"/>
        <w:bottom w:val="none" w:sz="0" w:space="0" w:color="auto"/>
        <w:right w:val="none" w:sz="0" w:space="0" w:color="auto"/>
      </w:divBdr>
    </w:div>
    <w:div w:id="91752816">
      <w:bodyDiv w:val="1"/>
      <w:marLeft w:val="0"/>
      <w:marRight w:val="0"/>
      <w:marTop w:val="0"/>
      <w:marBottom w:val="0"/>
      <w:divBdr>
        <w:top w:val="none" w:sz="0" w:space="0" w:color="auto"/>
        <w:left w:val="none" w:sz="0" w:space="0" w:color="auto"/>
        <w:bottom w:val="none" w:sz="0" w:space="0" w:color="auto"/>
        <w:right w:val="none" w:sz="0" w:space="0" w:color="auto"/>
      </w:divBdr>
    </w:div>
    <w:div w:id="119153639">
      <w:bodyDiv w:val="1"/>
      <w:marLeft w:val="0"/>
      <w:marRight w:val="0"/>
      <w:marTop w:val="0"/>
      <w:marBottom w:val="0"/>
      <w:divBdr>
        <w:top w:val="none" w:sz="0" w:space="0" w:color="auto"/>
        <w:left w:val="none" w:sz="0" w:space="0" w:color="auto"/>
        <w:bottom w:val="none" w:sz="0" w:space="0" w:color="auto"/>
        <w:right w:val="none" w:sz="0" w:space="0" w:color="auto"/>
      </w:divBdr>
    </w:div>
    <w:div w:id="121854178">
      <w:bodyDiv w:val="1"/>
      <w:marLeft w:val="0"/>
      <w:marRight w:val="0"/>
      <w:marTop w:val="0"/>
      <w:marBottom w:val="0"/>
      <w:divBdr>
        <w:top w:val="none" w:sz="0" w:space="0" w:color="auto"/>
        <w:left w:val="none" w:sz="0" w:space="0" w:color="auto"/>
        <w:bottom w:val="none" w:sz="0" w:space="0" w:color="auto"/>
        <w:right w:val="none" w:sz="0" w:space="0" w:color="auto"/>
      </w:divBdr>
    </w:div>
    <w:div w:id="189151992">
      <w:bodyDiv w:val="1"/>
      <w:marLeft w:val="0"/>
      <w:marRight w:val="0"/>
      <w:marTop w:val="0"/>
      <w:marBottom w:val="0"/>
      <w:divBdr>
        <w:top w:val="none" w:sz="0" w:space="0" w:color="auto"/>
        <w:left w:val="none" w:sz="0" w:space="0" w:color="auto"/>
        <w:bottom w:val="none" w:sz="0" w:space="0" w:color="auto"/>
        <w:right w:val="none" w:sz="0" w:space="0" w:color="auto"/>
      </w:divBdr>
    </w:div>
    <w:div w:id="226305528">
      <w:bodyDiv w:val="1"/>
      <w:marLeft w:val="0"/>
      <w:marRight w:val="0"/>
      <w:marTop w:val="0"/>
      <w:marBottom w:val="0"/>
      <w:divBdr>
        <w:top w:val="none" w:sz="0" w:space="0" w:color="auto"/>
        <w:left w:val="none" w:sz="0" w:space="0" w:color="auto"/>
        <w:bottom w:val="none" w:sz="0" w:space="0" w:color="auto"/>
        <w:right w:val="none" w:sz="0" w:space="0" w:color="auto"/>
      </w:divBdr>
    </w:div>
    <w:div w:id="275799535">
      <w:bodyDiv w:val="1"/>
      <w:marLeft w:val="0"/>
      <w:marRight w:val="0"/>
      <w:marTop w:val="0"/>
      <w:marBottom w:val="0"/>
      <w:divBdr>
        <w:top w:val="none" w:sz="0" w:space="0" w:color="auto"/>
        <w:left w:val="none" w:sz="0" w:space="0" w:color="auto"/>
        <w:bottom w:val="none" w:sz="0" w:space="0" w:color="auto"/>
        <w:right w:val="none" w:sz="0" w:space="0" w:color="auto"/>
      </w:divBdr>
    </w:div>
    <w:div w:id="287049058">
      <w:bodyDiv w:val="1"/>
      <w:marLeft w:val="0"/>
      <w:marRight w:val="0"/>
      <w:marTop w:val="0"/>
      <w:marBottom w:val="0"/>
      <w:divBdr>
        <w:top w:val="none" w:sz="0" w:space="0" w:color="auto"/>
        <w:left w:val="none" w:sz="0" w:space="0" w:color="auto"/>
        <w:bottom w:val="none" w:sz="0" w:space="0" w:color="auto"/>
        <w:right w:val="none" w:sz="0" w:space="0" w:color="auto"/>
      </w:divBdr>
    </w:div>
    <w:div w:id="288051687">
      <w:bodyDiv w:val="1"/>
      <w:marLeft w:val="0"/>
      <w:marRight w:val="0"/>
      <w:marTop w:val="0"/>
      <w:marBottom w:val="0"/>
      <w:divBdr>
        <w:top w:val="none" w:sz="0" w:space="0" w:color="auto"/>
        <w:left w:val="none" w:sz="0" w:space="0" w:color="auto"/>
        <w:bottom w:val="none" w:sz="0" w:space="0" w:color="auto"/>
        <w:right w:val="none" w:sz="0" w:space="0" w:color="auto"/>
      </w:divBdr>
    </w:div>
    <w:div w:id="295257968">
      <w:bodyDiv w:val="1"/>
      <w:marLeft w:val="0"/>
      <w:marRight w:val="0"/>
      <w:marTop w:val="0"/>
      <w:marBottom w:val="0"/>
      <w:divBdr>
        <w:top w:val="none" w:sz="0" w:space="0" w:color="auto"/>
        <w:left w:val="none" w:sz="0" w:space="0" w:color="auto"/>
        <w:bottom w:val="none" w:sz="0" w:space="0" w:color="auto"/>
        <w:right w:val="none" w:sz="0" w:space="0" w:color="auto"/>
      </w:divBdr>
    </w:div>
    <w:div w:id="353002061">
      <w:bodyDiv w:val="1"/>
      <w:marLeft w:val="0"/>
      <w:marRight w:val="0"/>
      <w:marTop w:val="0"/>
      <w:marBottom w:val="0"/>
      <w:divBdr>
        <w:top w:val="none" w:sz="0" w:space="0" w:color="auto"/>
        <w:left w:val="none" w:sz="0" w:space="0" w:color="auto"/>
        <w:bottom w:val="none" w:sz="0" w:space="0" w:color="auto"/>
        <w:right w:val="none" w:sz="0" w:space="0" w:color="auto"/>
      </w:divBdr>
    </w:div>
    <w:div w:id="361828135">
      <w:bodyDiv w:val="1"/>
      <w:marLeft w:val="0"/>
      <w:marRight w:val="0"/>
      <w:marTop w:val="0"/>
      <w:marBottom w:val="0"/>
      <w:divBdr>
        <w:top w:val="none" w:sz="0" w:space="0" w:color="auto"/>
        <w:left w:val="none" w:sz="0" w:space="0" w:color="auto"/>
        <w:bottom w:val="none" w:sz="0" w:space="0" w:color="auto"/>
        <w:right w:val="none" w:sz="0" w:space="0" w:color="auto"/>
      </w:divBdr>
    </w:div>
    <w:div w:id="380978603">
      <w:bodyDiv w:val="1"/>
      <w:marLeft w:val="0"/>
      <w:marRight w:val="0"/>
      <w:marTop w:val="0"/>
      <w:marBottom w:val="0"/>
      <w:divBdr>
        <w:top w:val="none" w:sz="0" w:space="0" w:color="auto"/>
        <w:left w:val="none" w:sz="0" w:space="0" w:color="auto"/>
        <w:bottom w:val="none" w:sz="0" w:space="0" w:color="auto"/>
        <w:right w:val="none" w:sz="0" w:space="0" w:color="auto"/>
      </w:divBdr>
    </w:div>
    <w:div w:id="389234778">
      <w:bodyDiv w:val="1"/>
      <w:marLeft w:val="0"/>
      <w:marRight w:val="0"/>
      <w:marTop w:val="0"/>
      <w:marBottom w:val="0"/>
      <w:divBdr>
        <w:top w:val="none" w:sz="0" w:space="0" w:color="auto"/>
        <w:left w:val="none" w:sz="0" w:space="0" w:color="auto"/>
        <w:bottom w:val="none" w:sz="0" w:space="0" w:color="auto"/>
        <w:right w:val="none" w:sz="0" w:space="0" w:color="auto"/>
      </w:divBdr>
    </w:div>
    <w:div w:id="464391801">
      <w:bodyDiv w:val="1"/>
      <w:marLeft w:val="0"/>
      <w:marRight w:val="0"/>
      <w:marTop w:val="0"/>
      <w:marBottom w:val="0"/>
      <w:divBdr>
        <w:top w:val="none" w:sz="0" w:space="0" w:color="auto"/>
        <w:left w:val="none" w:sz="0" w:space="0" w:color="auto"/>
        <w:bottom w:val="none" w:sz="0" w:space="0" w:color="auto"/>
        <w:right w:val="none" w:sz="0" w:space="0" w:color="auto"/>
      </w:divBdr>
    </w:div>
    <w:div w:id="501043414">
      <w:bodyDiv w:val="1"/>
      <w:marLeft w:val="0"/>
      <w:marRight w:val="0"/>
      <w:marTop w:val="0"/>
      <w:marBottom w:val="0"/>
      <w:divBdr>
        <w:top w:val="none" w:sz="0" w:space="0" w:color="auto"/>
        <w:left w:val="none" w:sz="0" w:space="0" w:color="auto"/>
        <w:bottom w:val="none" w:sz="0" w:space="0" w:color="auto"/>
        <w:right w:val="none" w:sz="0" w:space="0" w:color="auto"/>
      </w:divBdr>
    </w:div>
    <w:div w:id="508910533">
      <w:bodyDiv w:val="1"/>
      <w:marLeft w:val="0"/>
      <w:marRight w:val="0"/>
      <w:marTop w:val="0"/>
      <w:marBottom w:val="0"/>
      <w:divBdr>
        <w:top w:val="none" w:sz="0" w:space="0" w:color="auto"/>
        <w:left w:val="none" w:sz="0" w:space="0" w:color="auto"/>
        <w:bottom w:val="none" w:sz="0" w:space="0" w:color="auto"/>
        <w:right w:val="none" w:sz="0" w:space="0" w:color="auto"/>
      </w:divBdr>
    </w:div>
    <w:div w:id="611789156">
      <w:bodyDiv w:val="1"/>
      <w:marLeft w:val="0"/>
      <w:marRight w:val="0"/>
      <w:marTop w:val="0"/>
      <w:marBottom w:val="0"/>
      <w:divBdr>
        <w:top w:val="none" w:sz="0" w:space="0" w:color="auto"/>
        <w:left w:val="none" w:sz="0" w:space="0" w:color="auto"/>
        <w:bottom w:val="none" w:sz="0" w:space="0" w:color="auto"/>
        <w:right w:val="none" w:sz="0" w:space="0" w:color="auto"/>
      </w:divBdr>
    </w:div>
    <w:div w:id="642974984">
      <w:bodyDiv w:val="1"/>
      <w:marLeft w:val="0"/>
      <w:marRight w:val="0"/>
      <w:marTop w:val="0"/>
      <w:marBottom w:val="0"/>
      <w:divBdr>
        <w:top w:val="none" w:sz="0" w:space="0" w:color="auto"/>
        <w:left w:val="none" w:sz="0" w:space="0" w:color="auto"/>
        <w:bottom w:val="none" w:sz="0" w:space="0" w:color="auto"/>
        <w:right w:val="none" w:sz="0" w:space="0" w:color="auto"/>
      </w:divBdr>
    </w:div>
    <w:div w:id="653483965">
      <w:bodyDiv w:val="1"/>
      <w:marLeft w:val="0"/>
      <w:marRight w:val="0"/>
      <w:marTop w:val="0"/>
      <w:marBottom w:val="0"/>
      <w:divBdr>
        <w:top w:val="none" w:sz="0" w:space="0" w:color="auto"/>
        <w:left w:val="none" w:sz="0" w:space="0" w:color="auto"/>
        <w:bottom w:val="none" w:sz="0" w:space="0" w:color="auto"/>
        <w:right w:val="none" w:sz="0" w:space="0" w:color="auto"/>
      </w:divBdr>
    </w:div>
    <w:div w:id="658775695">
      <w:bodyDiv w:val="1"/>
      <w:marLeft w:val="0"/>
      <w:marRight w:val="0"/>
      <w:marTop w:val="0"/>
      <w:marBottom w:val="0"/>
      <w:divBdr>
        <w:top w:val="none" w:sz="0" w:space="0" w:color="auto"/>
        <w:left w:val="none" w:sz="0" w:space="0" w:color="auto"/>
        <w:bottom w:val="none" w:sz="0" w:space="0" w:color="auto"/>
        <w:right w:val="none" w:sz="0" w:space="0" w:color="auto"/>
      </w:divBdr>
    </w:div>
    <w:div w:id="665982812">
      <w:bodyDiv w:val="1"/>
      <w:marLeft w:val="0"/>
      <w:marRight w:val="0"/>
      <w:marTop w:val="0"/>
      <w:marBottom w:val="0"/>
      <w:divBdr>
        <w:top w:val="none" w:sz="0" w:space="0" w:color="auto"/>
        <w:left w:val="none" w:sz="0" w:space="0" w:color="auto"/>
        <w:bottom w:val="none" w:sz="0" w:space="0" w:color="auto"/>
        <w:right w:val="none" w:sz="0" w:space="0" w:color="auto"/>
      </w:divBdr>
    </w:div>
    <w:div w:id="672538048">
      <w:bodyDiv w:val="1"/>
      <w:marLeft w:val="0"/>
      <w:marRight w:val="0"/>
      <w:marTop w:val="0"/>
      <w:marBottom w:val="0"/>
      <w:divBdr>
        <w:top w:val="none" w:sz="0" w:space="0" w:color="auto"/>
        <w:left w:val="none" w:sz="0" w:space="0" w:color="auto"/>
        <w:bottom w:val="none" w:sz="0" w:space="0" w:color="auto"/>
        <w:right w:val="none" w:sz="0" w:space="0" w:color="auto"/>
      </w:divBdr>
    </w:div>
    <w:div w:id="691806594">
      <w:bodyDiv w:val="1"/>
      <w:marLeft w:val="0"/>
      <w:marRight w:val="0"/>
      <w:marTop w:val="0"/>
      <w:marBottom w:val="0"/>
      <w:divBdr>
        <w:top w:val="none" w:sz="0" w:space="0" w:color="auto"/>
        <w:left w:val="none" w:sz="0" w:space="0" w:color="auto"/>
        <w:bottom w:val="none" w:sz="0" w:space="0" w:color="auto"/>
        <w:right w:val="none" w:sz="0" w:space="0" w:color="auto"/>
      </w:divBdr>
    </w:div>
    <w:div w:id="715545184">
      <w:bodyDiv w:val="1"/>
      <w:marLeft w:val="0"/>
      <w:marRight w:val="0"/>
      <w:marTop w:val="0"/>
      <w:marBottom w:val="0"/>
      <w:divBdr>
        <w:top w:val="none" w:sz="0" w:space="0" w:color="auto"/>
        <w:left w:val="none" w:sz="0" w:space="0" w:color="auto"/>
        <w:bottom w:val="none" w:sz="0" w:space="0" w:color="auto"/>
        <w:right w:val="none" w:sz="0" w:space="0" w:color="auto"/>
      </w:divBdr>
    </w:div>
    <w:div w:id="736170313">
      <w:bodyDiv w:val="1"/>
      <w:marLeft w:val="0"/>
      <w:marRight w:val="0"/>
      <w:marTop w:val="0"/>
      <w:marBottom w:val="0"/>
      <w:divBdr>
        <w:top w:val="none" w:sz="0" w:space="0" w:color="auto"/>
        <w:left w:val="none" w:sz="0" w:space="0" w:color="auto"/>
        <w:bottom w:val="none" w:sz="0" w:space="0" w:color="auto"/>
        <w:right w:val="none" w:sz="0" w:space="0" w:color="auto"/>
      </w:divBdr>
    </w:div>
    <w:div w:id="748431185">
      <w:bodyDiv w:val="1"/>
      <w:marLeft w:val="0"/>
      <w:marRight w:val="0"/>
      <w:marTop w:val="0"/>
      <w:marBottom w:val="0"/>
      <w:divBdr>
        <w:top w:val="none" w:sz="0" w:space="0" w:color="auto"/>
        <w:left w:val="none" w:sz="0" w:space="0" w:color="auto"/>
        <w:bottom w:val="none" w:sz="0" w:space="0" w:color="auto"/>
        <w:right w:val="none" w:sz="0" w:space="0" w:color="auto"/>
      </w:divBdr>
    </w:div>
    <w:div w:id="769787156">
      <w:bodyDiv w:val="1"/>
      <w:marLeft w:val="0"/>
      <w:marRight w:val="0"/>
      <w:marTop w:val="0"/>
      <w:marBottom w:val="0"/>
      <w:divBdr>
        <w:top w:val="none" w:sz="0" w:space="0" w:color="auto"/>
        <w:left w:val="none" w:sz="0" w:space="0" w:color="auto"/>
        <w:bottom w:val="none" w:sz="0" w:space="0" w:color="auto"/>
        <w:right w:val="none" w:sz="0" w:space="0" w:color="auto"/>
      </w:divBdr>
    </w:div>
    <w:div w:id="813638609">
      <w:bodyDiv w:val="1"/>
      <w:marLeft w:val="0"/>
      <w:marRight w:val="0"/>
      <w:marTop w:val="0"/>
      <w:marBottom w:val="0"/>
      <w:divBdr>
        <w:top w:val="none" w:sz="0" w:space="0" w:color="auto"/>
        <w:left w:val="none" w:sz="0" w:space="0" w:color="auto"/>
        <w:bottom w:val="none" w:sz="0" w:space="0" w:color="auto"/>
        <w:right w:val="none" w:sz="0" w:space="0" w:color="auto"/>
      </w:divBdr>
    </w:div>
    <w:div w:id="888104019">
      <w:bodyDiv w:val="1"/>
      <w:marLeft w:val="0"/>
      <w:marRight w:val="0"/>
      <w:marTop w:val="0"/>
      <w:marBottom w:val="0"/>
      <w:divBdr>
        <w:top w:val="none" w:sz="0" w:space="0" w:color="auto"/>
        <w:left w:val="none" w:sz="0" w:space="0" w:color="auto"/>
        <w:bottom w:val="none" w:sz="0" w:space="0" w:color="auto"/>
        <w:right w:val="none" w:sz="0" w:space="0" w:color="auto"/>
      </w:divBdr>
    </w:div>
    <w:div w:id="888297086">
      <w:bodyDiv w:val="1"/>
      <w:marLeft w:val="0"/>
      <w:marRight w:val="0"/>
      <w:marTop w:val="0"/>
      <w:marBottom w:val="0"/>
      <w:divBdr>
        <w:top w:val="none" w:sz="0" w:space="0" w:color="auto"/>
        <w:left w:val="none" w:sz="0" w:space="0" w:color="auto"/>
        <w:bottom w:val="none" w:sz="0" w:space="0" w:color="auto"/>
        <w:right w:val="none" w:sz="0" w:space="0" w:color="auto"/>
      </w:divBdr>
    </w:div>
    <w:div w:id="891114702">
      <w:bodyDiv w:val="1"/>
      <w:marLeft w:val="0"/>
      <w:marRight w:val="0"/>
      <w:marTop w:val="0"/>
      <w:marBottom w:val="0"/>
      <w:divBdr>
        <w:top w:val="none" w:sz="0" w:space="0" w:color="auto"/>
        <w:left w:val="none" w:sz="0" w:space="0" w:color="auto"/>
        <w:bottom w:val="none" w:sz="0" w:space="0" w:color="auto"/>
        <w:right w:val="none" w:sz="0" w:space="0" w:color="auto"/>
      </w:divBdr>
    </w:div>
    <w:div w:id="976494882">
      <w:bodyDiv w:val="1"/>
      <w:marLeft w:val="0"/>
      <w:marRight w:val="0"/>
      <w:marTop w:val="0"/>
      <w:marBottom w:val="0"/>
      <w:divBdr>
        <w:top w:val="none" w:sz="0" w:space="0" w:color="auto"/>
        <w:left w:val="none" w:sz="0" w:space="0" w:color="auto"/>
        <w:bottom w:val="none" w:sz="0" w:space="0" w:color="auto"/>
        <w:right w:val="none" w:sz="0" w:space="0" w:color="auto"/>
      </w:divBdr>
    </w:div>
    <w:div w:id="995300604">
      <w:bodyDiv w:val="1"/>
      <w:marLeft w:val="0"/>
      <w:marRight w:val="0"/>
      <w:marTop w:val="0"/>
      <w:marBottom w:val="0"/>
      <w:divBdr>
        <w:top w:val="none" w:sz="0" w:space="0" w:color="auto"/>
        <w:left w:val="none" w:sz="0" w:space="0" w:color="auto"/>
        <w:bottom w:val="none" w:sz="0" w:space="0" w:color="auto"/>
        <w:right w:val="none" w:sz="0" w:space="0" w:color="auto"/>
      </w:divBdr>
    </w:div>
    <w:div w:id="1033574749">
      <w:bodyDiv w:val="1"/>
      <w:marLeft w:val="0"/>
      <w:marRight w:val="0"/>
      <w:marTop w:val="0"/>
      <w:marBottom w:val="0"/>
      <w:divBdr>
        <w:top w:val="none" w:sz="0" w:space="0" w:color="auto"/>
        <w:left w:val="none" w:sz="0" w:space="0" w:color="auto"/>
        <w:bottom w:val="none" w:sz="0" w:space="0" w:color="auto"/>
        <w:right w:val="none" w:sz="0" w:space="0" w:color="auto"/>
      </w:divBdr>
    </w:div>
    <w:div w:id="1044331105">
      <w:bodyDiv w:val="1"/>
      <w:marLeft w:val="0"/>
      <w:marRight w:val="0"/>
      <w:marTop w:val="0"/>
      <w:marBottom w:val="0"/>
      <w:divBdr>
        <w:top w:val="none" w:sz="0" w:space="0" w:color="auto"/>
        <w:left w:val="none" w:sz="0" w:space="0" w:color="auto"/>
        <w:bottom w:val="none" w:sz="0" w:space="0" w:color="auto"/>
        <w:right w:val="none" w:sz="0" w:space="0" w:color="auto"/>
      </w:divBdr>
    </w:div>
    <w:div w:id="1095706353">
      <w:bodyDiv w:val="1"/>
      <w:marLeft w:val="0"/>
      <w:marRight w:val="0"/>
      <w:marTop w:val="0"/>
      <w:marBottom w:val="0"/>
      <w:divBdr>
        <w:top w:val="none" w:sz="0" w:space="0" w:color="auto"/>
        <w:left w:val="none" w:sz="0" w:space="0" w:color="auto"/>
        <w:bottom w:val="none" w:sz="0" w:space="0" w:color="auto"/>
        <w:right w:val="none" w:sz="0" w:space="0" w:color="auto"/>
      </w:divBdr>
    </w:div>
    <w:div w:id="1137918135">
      <w:bodyDiv w:val="1"/>
      <w:marLeft w:val="0"/>
      <w:marRight w:val="0"/>
      <w:marTop w:val="0"/>
      <w:marBottom w:val="0"/>
      <w:divBdr>
        <w:top w:val="none" w:sz="0" w:space="0" w:color="auto"/>
        <w:left w:val="none" w:sz="0" w:space="0" w:color="auto"/>
        <w:bottom w:val="none" w:sz="0" w:space="0" w:color="auto"/>
        <w:right w:val="none" w:sz="0" w:space="0" w:color="auto"/>
      </w:divBdr>
    </w:div>
    <w:div w:id="1139955535">
      <w:bodyDiv w:val="1"/>
      <w:marLeft w:val="0"/>
      <w:marRight w:val="0"/>
      <w:marTop w:val="0"/>
      <w:marBottom w:val="0"/>
      <w:divBdr>
        <w:top w:val="none" w:sz="0" w:space="0" w:color="auto"/>
        <w:left w:val="none" w:sz="0" w:space="0" w:color="auto"/>
        <w:bottom w:val="none" w:sz="0" w:space="0" w:color="auto"/>
        <w:right w:val="none" w:sz="0" w:space="0" w:color="auto"/>
      </w:divBdr>
    </w:div>
    <w:div w:id="1211918062">
      <w:bodyDiv w:val="1"/>
      <w:marLeft w:val="0"/>
      <w:marRight w:val="0"/>
      <w:marTop w:val="0"/>
      <w:marBottom w:val="0"/>
      <w:divBdr>
        <w:top w:val="none" w:sz="0" w:space="0" w:color="auto"/>
        <w:left w:val="none" w:sz="0" w:space="0" w:color="auto"/>
        <w:bottom w:val="none" w:sz="0" w:space="0" w:color="auto"/>
        <w:right w:val="none" w:sz="0" w:space="0" w:color="auto"/>
      </w:divBdr>
    </w:div>
    <w:div w:id="1215502519">
      <w:bodyDiv w:val="1"/>
      <w:marLeft w:val="0"/>
      <w:marRight w:val="0"/>
      <w:marTop w:val="0"/>
      <w:marBottom w:val="0"/>
      <w:divBdr>
        <w:top w:val="none" w:sz="0" w:space="0" w:color="auto"/>
        <w:left w:val="none" w:sz="0" w:space="0" w:color="auto"/>
        <w:bottom w:val="none" w:sz="0" w:space="0" w:color="auto"/>
        <w:right w:val="none" w:sz="0" w:space="0" w:color="auto"/>
      </w:divBdr>
    </w:div>
    <w:div w:id="1263339510">
      <w:bodyDiv w:val="1"/>
      <w:marLeft w:val="0"/>
      <w:marRight w:val="0"/>
      <w:marTop w:val="0"/>
      <w:marBottom w:val="0"/>
      <w:divBdr>
        <w:top w:val="none" w:sz="0" w:space="0" w:color="auto"/>
        <w:left w:val="none" w:sz="0" w:space="0" w:color="auto"/>
        <w:bottom w:val="none" w:sz="0" w:space="0" w:color="auto"/>
        <w:right w:val="none" w:sz="0" w:space="0" w:color="auto"/>
      </w:divBdr>
    </w:div>
    <w:div w:id="1354184124">
      <w:bodyDiv w:val="1"/>
      <w:marLeft w:val="0"/>
      <w:marRight w:val="0"/>
      <w:marTop w:val="0"/>
      <w:marBottom w:val="0"/>
      <w:divBdr>
        <w:top w:val="none" w:sz="0" w:space="0" w:color="auto"/>
        <w:left w:val="none" w:sz="0" w:space="0" w:color="auto"/>
        <w:bottom w:val="none" w:sz="0" w:space="0" w:color="auto"/>
        <w:right w:val="none" w:sz="0" w:space="0" w:color="auto"/>
      </w:divBdr>
    </w:div>
    <w:div w:id="1362704239">
      <w:bodyDiv w:val="1"/>
      <w:marLeft w:val="0"/>
      <w:marRight w:val="0"/>
      <w:marTop w:val="0"/>
      <w:marBottom w:val="0"/>
      <w:divBdr>
        <w:top w:val="none" w:sz="0" w:space="0" w:color="auto"/>
        <w:left w:val="none" w:sz="0" w:space="0" w:color="auto"/>
        <w:bottom w:val="none" w:sz="0" w:space="0" w:color="auto"/>
        <w:right w:val="none" w:sz="0" w:space="0" w:color="auto"/>
      </w:divBdr>
    </w:div>
    <w:div w:id="1394960952">
      <w:bodyDiv w:val="1"/>
      <w:marLeft w:val="0"/>
      <w:marRight w:val="0"/>
      <w:marTop w:val="0"/>
      <w:marBottom w:val="0"/>
      <w:divBdr>
        <w:top w:val="none" w:sz="0" w:space="0" w:color="auto"/>
        <w:left w:val="none" w:sz="0" w:space="0" w:color="auto"/>
        <w:bottom w:val="none" w:sz="0" w:space="0" w:color="auto"/>
        <w:right w:val="none" w:sz="0" w:space="0" w:color="auto"/>
      </w:divBdr>
    </w:div>
    <w:div w:id="1421679063">
      <w:bodyDiv w:val="1"/>
      <w:marLeft w:val="0"/>
      <w:marRight w:val="0"/>
      <w:marTop w:val="0"/>
      <w:marBottom w:val="0"/>
      <w:divBdr>
        <w:top w:val="none" w:sz="0" w:space="0" w:color="auto"/>
        <w:left w:val="none" w:sz="0" w:space="0" w:color="auto"/>
        <w:bottom w:val="none" w:sz="0" w:space="0" w:color="auto"/>
        <w:right w:val="none" w:sz="0" w:space="0" w:color="auto"/>
      </w:divBdr>
    </w:div>
    <w:div w:id="1442651929">
      <w:bodyDiv w:val="1"/>
      <w:marLeft w:val="0"/>
      <w:marRight w:val="0"/>
      <w:marTop w:val="0"/>
      <w:marBottom w:val="0"/>
      <w:divBdr>
        <w:top w:val="none" w:sz="0" w:space="0" w:color="auto"/>
        <w:left w:val="none" w:sz="0" w:space="0" w:color="auto"/>
        <w:bottom w:val="none" w:sz="0" w:space="0" w:color="auto"/>
        <w:right w:val="none" w:sz="0" w:space="0" w:color="auto"/>
      </w:divBdr>
    </w:div>
    <w:div w:id="1444156653">
      <w:bodyDiv w:val="1"/>
      <w:marLeft w:val="0"/>
      <w:marRight w:val="0"/>
      <w:marTop w:val="0"/>
      <w:marBottom w:val="0"/>
      <w:divBdr>
        <w:top w:val="none" w:sz="0" w:space="0" w:color="auto"/>
        <w:left w:val="none" w:sz="0" w:space="0" w:color="auto"/>
        <w:bottom w:val="none" w:sz="0" w:space="0" w:color="auto"/>
        <w:right w:val="none" w:sz="0" w:space="0" w:color="auto"/>
      </w:divBdr>
    </w:div>
    <w:div w:id="1512917074">
      <w:bodyDiv w:val="1"/>
      <w:marLeft w:val="0"/>
      <w:marRight w:val="0"/>
      <w:marTop w:val="0"/>
      <w:marBottom w:val="0"/>
      <w:divBdr>
        <w:top w:val="none" w:sz="0" w:space="0" w:color="auto"/>
        <w:left w:val="none" w:sz="0" w:space="0" w:color="auto"/>
        <w:bottom w:val="none" w:sz="0" w:space="0" w:color="auto"/>
        <w:right w:val="none" w:sz="0" w:space="0" w:color="auto"/>
      </w:divBdr>
    </w:div>
    <w:div w:id="1529878705">
      <w:bodyDiv w:val="1"/>
      <w:marLeft w:val="0"/>
      <w:marRight w:val="0"/>
      <w:marTop w:val="0"/>
      <w:marBottom w:val="0"/>
      <w:divBdr>
        <w:top w:val="none" w:sz="0" w:space="0" w:color="auto"/>
        <w:left w:val="none" w:sz="0" w:space="0" w:color="auto"/>
        <w:bottom w:val="none" w:sz="0" w:space="0" w:color="auto"/>
        <w:right w:val="none" w:sz="0" w:space="0" w:color="auto"/>
      </w:divBdr>
    </w:div>
    <w:div w:id="1571767282">
      <w:bodyDiv w:val="1"/>
      <w:marLeft w:val="0"/>
      <w:marRight w:val="0"/>
      <w:marTop w:val="0"/>
      <w:marBottom w:val="0"/>
      <w:divBdr>
        <w:top w:val="none" w:sz="0" w:space="0" w:color="auto"/>
        <w:left w:val="none" w:sz="0" w:space="0" w:color="auto"/>
        <w:bottom w:val="none" w:sz="0" w:space="0" w:color="auto"/>
        <w:right w:val="none" w:sz="0" w:space="0" w:color="auto"/>
      </w:divBdr>
    </w:div>
    <w:div w:id="1620720423">
      <w:bodyDiv w:val="1"/>
      <w:marLeft w:val="0"/>
      <w:marRight w:val="0"/>
      <w:marTop w:val="0"/>
      <w:marBottom w:val="0"/>
      <w:divBdr>
        <w:top w:val="none" w:sz="0" w:space="0" w:color="auto"/>
        <w:left w:val="none" w:sz="0" w:space="0" w:color="auto"/>
        <w:bottom w:val="none" w:sz="0" w:space="0" w:color="auto"/>
        <w:right w:val="none" w:sz="0" w:space="0" w:color="auto"/>
      </w:divBdr>
    </w:div>
    <w:div w:id="1712487497">
      <w:bodyDiv w:val="1"/>
      <w:marLeft w:val="0"/>
      <w:marRight w:val="0"/>
      <w:marTop w:val="0"/>
      <w:marBottom w:val="0"/>
      <w:divBdr>
        <w:top w:val="none" w:sz="0" w:space="0" w:color="auto"/>
        <w:left w:val="none" w:sz="0" w:space="0" w:color="auto"/>
        <w:bottom w:val="none" w:sz="0" w:space="0" w:color="auto"/>
        <w:right w:val="none" w:sz="0" w:space="0" w:color="auto"/>
      </w:divBdr>
    </w:div>
    <w:div w:id="1760297803">
      <w:bodyDiv w:val="1"/>
      <w:marLeft w:val="0"/>
      <w:marRight w:val="0"/>
      <w:marTop w:val="0"/>
      <w:marBottom w:val="0"/>
      <w:divBdr>
        <w:top w:val="none" w:sz="0" w:space="0" w:color="auto"/>
        <w:left w:val="none" w:sz="0" w:space="0" w:color="auto"/>
        <w:bottom w:val="none" w:sz="0" w:space="0" w:color="auto"/>
        <w:right w:val="none" w:sz="0" w:space="0" w:color="auto"/>
      </w:divBdr>
    </w:div>
    <w:div w:id="1774352921">
      <w:bodyDiv w:val="1"/>
      <w:marLeft w:val="0"/>
      <w:marRight w:val="0"/>
      <w:marTop w:val="0"/>
      <w:marBottom w:val="0"/>
      <w:divBdr>
        <w:top w:val="none" w:sz="0" w:space="0" w:color="auto"/>
        <w:left w:val="none" w:sz="0" w:space="0" w:color="auto"/>
        <w:bottom w:val="none" w:sz="0" w:space="0" w:color="auto"/>
        <w:right w:val="none" w:sz="0" w:space="0" w:color="auto"/>
      </w:divBdr>
    </w:div>
    <w:div w:id="1775979668">
      <w:bodyDiv w:val="1"/>
      <w:marLeft w:val="0"/>
      <w:marRight w:val="0"/>
      <w:marTop w:val="0"/>
      <w:marBottom w:val="0"/>
      <w:divBdr>
        <w:top w:val="none" w:sz="0" w:space="0" w:color="auto"/>
        <w:left w:val="none" w:sz="0" w:space="0" w:color="auto"/>
        <w:bottom w:val="none" w:sz="0" w:space="0" w:color="auto"/>
        <w:right w:val="none" w:sz="0" w:space="0" w:color="auto"/>
      </w:divBdr>
    </w:div>
    <w:div w:id="1786000330">
      <w:bodyDiv w:val="1"/>
      <w:marLeft w:val="0"/>
      <w:marRight w:val="0"/>
      <w:marTop w:val="0"/>
      <w:marBottom w:val="0"/>
      <w:divBdr>
        <w:top w:val="none" w:sz="0" w:space="0" w:color="auto"/>
        <w:left w:val="none" w:sz="0" w:space="0" w:color="auto"/>
        <w:bottom w:val="none" w:sz="0" w:space="0" w:color="auto"/>
        <w:right w:val="none" w:sz="0" w:space="0" w:color="auto"/>
      </w:divBdr>
    </w:div>
    <w:div w:id="1901014274">
      <w:bodyDiv w:val="1"/>
      <w:marLeft w:val="0"/>
      <w:marRight w:val="0"/>
      <w:marTop w:val="0"/>
      <w:marBottom w:val="0"/>
      <w:divBdr>
        <w:top w:val="none" w:sz="0" w:space="0" w:color="auto"/>
        <w:left w:val="none" w:sz="0" w:space="0" w:color="auto"/>
        <w:bottom w:val="none" w:sz="0" w:space="0" w:color="auto"/>
        <w:right w:val="none" w:sz="0" w:space="0" w:color="auto"/>
      </w:divBdr>
    </w:div>
    <w:div w:id="1959679272">
      <w:bodyDiv w:val="1"/>
      <w:marLeft w:val="0"/>
      <w:marRight w:val="0"/>
      <w:marTop w:val="0"/>
      <w:marBottom w:val="0"/>
      <w:divBdr>
        <w:top w:val="none" w:sz="0" w:space="0" w:color="auto"/>
        <w:left w:val="none" w:sz="0" w:space="0" w:color="auto"/>
        <w:bottom w:val="none" w:sz="0" w:space="0" w:color="auto"/>
        <w:right w:val="none" w:sz="0" w:space="0" w:color="auto"/>
      </w:divBdr>
    </w:div>
    <w:div w:id="1976329900">
      <w:bodyDiv w:val="1"/>
      <w:marLeft w:val="0"/>
      <w:marRight w:val="0"/>
      <w:marTop w:val="0"/>
      <w:marBottom w:val="0"/>
      <w:divBdr>
        <w:top w:val="none" w:sz="0" w:space="0" w:color="auto"/>
        <w:left w:val="none" w:sz="0" w:space="0" w:color="auto"/>
        <w:bottom w:val="none" w:sz="0" w:space="0" w:color="auto"/>
        <w:right w:val="none" w:sz="0" w:space="0" w:color="auto"/>
      </w:divBdr>
    </w:div>
    <w:div w:id="2043509609">
      <w:bodyDiv w:val="1"/>
      <w:marLeft w:val="0"/>
      <w:marRight w:val="0"/>
      <w:marTop w:val="0"/>
      <w:marBottom w:val="0"/>
      <w:divBdr>
        <w:top w:val="none" w:sz="0" w:space="0" w:color="auto"/>
        <w:left w:val="none" w:sz="0" w:space="0" w:color="auto"/>
        <w:bottom w:val="none" w:sz="0" w:space="0" w:color="auto"/>
        <w:right w:val="none" w:sz="0" w:space="0" w:color="auto"/>
      </w:divBdr>
    </w:div>
    <w:div w:id="2096854678">
      <w:bodyDiv w:val="1"/>
      <w:marLeft w:val="0"/>
      <w:marRight w:val="0"/>
      <w:marTop w:val="0"/>
      <w:marBottom w:val="0"/>
      <w:divBdr>
        <w:top w:val="none" w:sz="0" w:space="0" w:color="auto"/>
        <w:left w:val="none" w:sz="0" w:space="0" w:color="auto"/>
        <w:bottom w:val="none" w:sz="0" w:space="0" w:color="auto"/>
        <w:right w:val="none" w:sz="0" w:space="0" w:color="auto"/>
      </w:divBdr>
      <w:divsChild>
        <w:div w:id="984549960">
          <w:marLeft w:val="0"/>
          <w:marRight w:val="0"/>
          <w:marTop w:val="0"/>
          <w:marBottom w:val="0"/>
          <w:divBdr>
            <w:top w:val="none" w:sz="0" w:space="0" w:color="auto"/>
            <w:left w:val="none" w:sz="0" w:space="0" w:color="auto"/>
            <w:bottom w:val="none" w:sz="0" w:space="0" w:color="auto"/>
            <w:right w:val="none" w:sz="0" w:space="0" w:color="auto"/>
          </w:divBdr>
          <w:divsChild>
            <w:div w:id="1791823147">
              <w:marLeft w:val="0"/>
              <w:marRight w:val="0"/>
              <w:marTop w:val="0"/>
              <w:marBottom w:val="0"/>
              <w:divBdr>
                <w:top w:val="none" w:sz="0" w:space="0" w:color="auto"/>
                <w:left w:val="none" w:sz="0" w:space="0" w:color="auto"/>
                <w:bottom w:val="none" w:sz="0" w:space="0" w:color="auto"/>
                <w:right w:val="none" w:sz="0" w:space="0" w:color="auto"/>
              </w:divBdr>
              <w:divsChild>
                <w:div w:id="250283061">
                  <w:marLeft w:val="0"/>
                  <w:marRight w:val="0"/>
                  <w:marTop w:val="0"/>
                  <w:marBottom w:val="0"/>
                  <w:divBdr>
                    <w:top w:val="none" w:sz="0" w:space="0" w:color="auto"/>
                    <w:left w:val="none" w:sz="0" w:space="0" w:color="auto"/>
                    <w:bottom w:val="none" w:sz="0" w:space="0" w:color="auto"/>
                    <w:right w:val="none" w:sz="0" w:space="0" w:color="auto"/>
                  </w:divBdr>
                  <w:divsChild>
                    <w:div w:id="39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C09E-7ECB-4A7E-93D0-4D645999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WKOe</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 Ruth, WKÖ BSBV</dc:creator>
  <cp:lastModifiedBy>Egger Bernhard, Dr, WKÖ BSBV</cp:lastModifiedBy>
  <cp:revision>4</cp:revision>
  <cp:lastPrinted>2014-09-12T10:39:00Z</cp:lastPrinted>
  <dcterms:created xsi:type="dcterms:W3CDTF">2015-01-02T16:03:00Z</dcterms:created>
  <dcterms:modified xsi:type="dcterms:W3CDTF">2015-01-08T19:12:00Z</dcterms:modified>
</cp:coreProperties>
</file>