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F2" w:rsidRPr="00E762AD" w:rsidRDefault="003E6B48" w:rsidP="00E762AD">
      <w:pPr>
        <w:spacing w:after="200" w:line="288" w:lineRule="auto"/>
        <w:jc w:val="both"/>
        <w:textAlignment w:val="baseline"/>
        <w:rPr>
          <w:rFonts w:ascii="Book Antiqua" w:eastAsia="Book Antiqua" w:hAnsi="Book Antiqua"/>
          <w:b/>
          <w:color w:val="000000"/>
          <w:sz w:val="20"/>
          <w:szCs w:val="20"/>
          <w:lang w:val="en-GB"/>
        </w:rPr>
      </w:pPr>
      <w:r w:rsidRPr="00E762AD">
        <w:rPr>
          <w:rFonts w:ascii="Book Antiqua" w:eastAsia="Book Antiqua" w:hAnsi="Book Antiqua"/>
          <w:b/>
          <w:color w:val="000000"/>
          <w:sz w:val="20"/>
          <w:szCs w:val="20"/>
          <w:lang w:val="en-GB"/>
        </w:rPr>
        <w:t>EBA CONSULTATION ON SIMPLE, STANDARD AND TRANSPARENT SECURITISATIONS (EBA/DP/ 2014/02)</w:t>
      </w:r>
    </w:p>
    <w:p w:rsidR="00E762AD" w:rsidRDefault="00E762AD" w:rsidP="00E762AD">
      <w:pPr>
        <w:spacing w:after="200" w:line="288" w:lineRule="auto"/>
        <w:ind w:right="6768"/>
        <w:jc w:val="both"/>
        <w:textAlignment w:val="baseline"/>
        <w:rPr>
          <w:rFonts w:ascii="Book Antiqua" w:eastAsia="Book Antiqua" w:hAnsi="Book Antiqua"/>
          <w:color w:val="000000"/>
          <w:sz w:val="20"/>
          <w:szCs w:val="20"/>
          <w:lang w:val="en-GB"/>
        </w:rPr>
      </w:pPr>
    </w:p>
    <w:p w:rsidR="00E762AD" w:rsidRPr="00E762AD" w:rsidRDefault="00E762AD" w:rsidP="00E762AD">
      <w:pPr>
        <w:tabs>
          <w:tab w:val="left" w:pos="2694"/>
        </w:tabs>
        <w:spacing w:after="200" w:line="288" w:lineRule="auto"/>
        <w:jc w:val="both"/>
        <w:textAlignment w:val="baseline"/>
        <w:rPr>
          <w:rFonts w:ascii="Book Antiqua" w:eastAsia="Book Antiqua" w:hAnsi="Book Antiqua"/>
          <w:b/>
          <w:color w:val="000000"/>
          <w:sz w:val="20"/>
          <w:szCs w:val="20"/>
          <w:lang w:val="en-GB"/>
        </w:rPr>
      </w:pPr>
      <w:r w:rsidRPr="00E762AD">
        <w:rPr>
          <w:rFonts w:ascii="Book Antiqua" w:eastAsia="Book Antiqua" w:hAnsi="Book Antiqua"/>
          <w:b/>
          <w:color w:val="000000"/>
          <w:sz w:val="20"/>
          <w:szCs w:val="20"/>
          <w:lang w:val="en-GB"/>
        </w:rPr>
        <w:t>Pillar I: simple securitisations</w:t>
      </w:r>
    </w:p>
    <w:p w:rsidR="00E762AD" w:rsidRPr="00E762AD" w:rsidRDefault="00E762AD" w:rsidP="004E69DC">
      <w:pPr>
        <w:keepNext/>
        <w:widowControl w:val="0"/>
        <w:spacing w:after="200" w:line="288" w:lineRule="auto"/>
        <w:jc w:val="both"/>
        <w:textAlignment w:val="baseline"/>
        <w:rPr>
          <w:rFonts w:ascii="Book Antiqua" w:eastAsia="Book Antiqua" w:hAnsi="Book Antiqua"/>
          <w:color w:val="000000"/>
          <w:sz w:val="20"/>
          <w:szCs w:val="20"/>
          <w:u w:val="single"/>
          <w:lang w:val="en-GB"/>
        </w:rPr>
      </w:pPr>
      <w:r w:rsidRPr="00E762AD">
        <w:rPr>
          <w:rFonts w:ascii="Book Antiqua" w:eastAsia="Book Antiqua" w:hAnsi="Book Antiqua"/>
          <w:color w:val="000000"/>
          <w:sz w:val="20"/>
          <w:szCs w:val="20"/>
          <w:u w:val="single"/>
          <w:lang w:val="en-GB"/>
        </w:rPr>
        <w:t>Criterion 1</w:t>
      </w:r>
    </w:p>
    <w:p w:rsidR="008319F2" w:rsidRPr="00E762AD" w:rsidRDefault="003E6B48" w:rsidP="00E762AD">
      <w:pPr>
        <w:tabs>
          <w:tab w:val="left" w:pos="2694"/>
        </w:tabs>
        <w:spacing w:after="200" w:line="288" w:lineRule="auto"/>
        <w:jc w:val="both"/>
        <w:textAlignment w:val="baseline"/>
        <w:rPr>
          <w:rFonts w:ascii="Book Antiqua" w:eastAsia="Book Antiqua" w:hAnsi="Book Antiqua"/>
          <w:color w:val="000000"/>
          <w:sz w:val="20"/>
          <w:szCs w:val="20"/>
          <w:lang w:val="en-GB"/>
        </w:rPr>
      </w:pPr>
      <w:r w:rsidRPr="00E762AD">
        <w:rPr>
          <w:rFonts w:ascii="Book Antiqua" w:eastAsia="Book Antiqua" w:hAnsi="Book Antiqua"/>
          <w:i/>
          <w:color w:val="000000"/>
          <w:sz w:val="20"/>
          <w:szCs w:val="20"/>
          <w:lang w:val="en-GB"/>
        </w:rPr>
        <w:t>Traditional securitisation</w:t>
      </w:r>
    </w:p>
    <w:p w:rsidR="008319F2" w:rsidRPr="00E762AD" w:rsidRDefault="00E762AD" w:rsidP="00E762AD">
      <w:pPr>
        <w:spacing w:after="200" w:line="288" w:lineRule="auto"/>
        <w:jc w:val="both"/>
        <w:textAlignment w:val="baseline"/>
        <w:rPr>
          <w:rFonts w:ascii="Book Antiqua" w:eastAsia="Book Antiqua" w:hAnsi="Book Antiqua"/>
          <w:color w:val="000000"/>
          <w:sz w:val="20"/>
          <w:szCs w:val="20"/>
          <w:lang w:val="en-GB"/>
        </w:rPr>
      </w:pPr>
      <w:r>
        <w:rPr>
          <w:rFonts w:ascii="Book Antiqua" w:eastAsia="Book Antiqua" w:hAnsi="Book Antiqua"/>
          <w:color w:val="000000"/>
          <w:sz w:val="20"/>
          <w:szCs w:val="20"/>
          <w:lang w:val="en-GB"/>
        </w:rPr>
        <w:t>I</w:t>
      </w:r>
      <w:r w:rsidR="003E6B48" w:rsidRPr="00E762AD">
        <w:rPr>
          <w:rFonts w:ascii="Book Antiqua" w:eastAsia="Book Antiqua" w:hAnsi="Book Antiqua"/>
          <w:color w:val="000000"/>
          <w:sz w:val="20"/>
          <w:szCs w:val="20"/>
          <w:lang w:val="en-GB"/>
        </w:rPr>
        <w:t xml:space="preserve">n </w:t>
      </w:r>
      <w:r>
        <w:rPr>
          <w:rFonts w:ascii="Book Antiqua" w:eastAsia="Book Antiqua" w:hAnsi="Book Antiqua"/>
          <w:color w:val="000000"/>
          <w:sz w:val="20"/>
          <w:szCs w:val="20"/>
          <w:lang w:val="en-GB"/>
        </w:rPr>
        <w:t xml:space="preserve">certain </w:t>
      </w:r>
      <w:r w:rsidR="003E6B48" w:rsidRPr="00E762AD">
        <w:rPr>
          <w:rFonts w:ascii="Book Antiqua" w:eastAsia="Book Antiqua" w:hAnsi="Book Antiqua"/>
          <w:color w:val="000000"/>
          <w:sz w:val="20"/>
          <w:szCs w:val="20"/>
          <w:lang w:val="en-GB"/>
        </w:rPr>
        <w:t xml:space="preserve">legal systems </w:t>
      </w:r>
      <w:r>
        <w:rPr>
          <w:rFonts w:ascii="Book Antiqua" w:eastAsia="Book Antiqua" w:hAnsi="Book Antiqua"/>
          <w:color w:val="000000"/>
          <w:sz w:val="20"/>
          <w:szCs w:val="20"/>
          <w:lang w:val="en-GB"/>
        </w:rPr>
        <w:t xml:space="preserve">(e.g. Italy), </w:t>
      </w:r>
      <w:r w:rsidR="003E6B48" w:rsidRPr="00E762AD">
        <w:rPr>
          <w:rFonts w:ascii="Book Antiqua" w:eastAsia="Book Antiqua" w:hAnsi="Book Antiqua"/>
          <w:color w:val="000000"/>
          <w:sz w:val="20"/>
          <w:szCs w:val="20"/>
          <w:lang w:val="en-GB"/>
        </w:rPr>
        <w:t xml:space="preserve">securitisation vehicles are now allowed to </w:t>
      </w:r>
      <w:r>
        <w:rPr>
          <w:rFonts w:ascii="Book Antiqua" w:eastAsia="Book Antiqua" w:hAnsi="Book Antiqua"/>
          <w:color w:val="000000"/>
          <w:sz w:val="20"/>
          <w:szCs w:val="20"/>
          <w:lang w:val="en-GB"/>
        </w:rPr>
        <w:t>advance</w:t>
      </w:r>
      <w:r w:rsidR="003E6B48" w:rsidRPr="00E762AD">
        <w:rPr>
          <w:rFonts w:ascii="Book Antiqua" w:eastAsia="Book Antiqua" w:hAnsi="Book Antiqua"/>
          <w:color w:val="000000"/>
          <w:sz w:val="20"/>
          <w:szCs w:val="20"/>
          <w:lang w:val="en-GB"/>
        </w:rPr>
        <w:t xml:space="preserve"> loans directly </w:t>
      </w:r>
      <w:r>
        <w:rPr>
          <w:rFonts w:ascii="Book Antiqua" w:eastAsia="Book Antiqua" w:hAnsi="Book Antiqua"/>
          <w:color w:val="000000"/>
          <w:sz w:val="20"/>
          <w:szCs w:val="20"/>
          <w:lang w:val="en-GB"/>
        </w:rPr>
        <w:t xml:space="preserve">to the underlying borrowers </w:t>
      </w:r>
      <w:r w:rsidR="003E6B48" w:rsidRPr="00E762AD">
        <w:rPr>
          <w:rFonts w:ascii="Book Antiqua" w:eastAsia="Book Antiqua" w:hAnsi="Book Antiqua"/>
          <w:color w:val="000000"/>
          <w:sz w:val="20"/>
          <w:szCs w:val="20"/>
          <w:lang w:val="en-GB"/>
        </w:rPr>
        <w:t>under the direction of what would otherwise be the originating bank. Therefore</w:t>
      </w:r>
      <w:r>
        <w:rPr>
          <w:rFonts w:ascii="Book Antiqua" w:eastAsia="Book Antiqua" w:hAnsi="Book Antiqua"/>
          <w:color w:val="000000"/>
          <w:sz w:val="20"/>
          <w:szCs w:val="20"/>
          <w:lang w:val="en-GB"/>
        </w:rPr>
        <w:t>,</w:t>
      </w:r>
      <w:r w:rsidR="003E6B48" w:rsidRPr="00E762AD">
        <w:rPr>
          <w:rFonts w:ascii="Book Antiqua" w:eastAsia="Book Antiqua" w:hAnsi="Book Antiqua"/>
          <w:color w:val="000000"/>
          <w:sz w:val="20"/>
          <w:szCs w:val="20"/>
          <w:lang w:val="en-GB"/>
        </w:rPr>
        <w:t xml:space="preserve"> in this scheme there is no</w:t>
      </w:r>
      <w:r>
        <w:rPr>
          <w:rFonts w:ascii="Book Antiqua" w:eastAsia="Book Antiqua" w:hAnsi="Book Antiqua"/>
          <w:color w:val="000000"/>
          <w:sz w:val="20"/>
          <w:szCs w:val="20"/>
          <w:lang w:val="en-GB"/>
        </w:rPr>
        <w:t xml:space="preserve"> outright </w:t>
      </w:r>
      <w:r w:rsidR="003E6B48" w:rsidRPr="00E762AD">
        <w:rPr>
          <w:rFonts w:ascii="Book Antiqua" w:eastAsia="Book Antiqua" w:hAnsi="Book Antiqua"/>
          <w:color w:val="000000"/>
          <w:sz w:val="20"/>
          <w:szCs w:val="20"/>
          <w:lang w:val="en-GB"/>
        </w:rPr>
        <w:t xml:space="preserve">transfer of the underlying exposures. </w:t>
      </w:r>
      <w:r>
        <w:rPr>
          <w:rFonts w:ascii="Book Antiqua" w:eastAsia="Book Antiqua" w:hAnsi="Book Antiqua"/>
          <w:color w:val="000000"/>
          <w:sz w:val="20"/>
          <w:szCs w:val="20"/>
          <w:lang w:val="en-GB"/>
        </w:rPr>
        <w:t>We believe that securitisations carried out in accordance with s</w:t>
      </w:r>
      <w:r w:rsidR="003E6B48" w:rsidRPr="00E762AD">
        <w:rPr>
          <w:rFonts w:ascii="Book Antiqua" w:eastAsia="Book Antiqua" w:hAnsi="Book Antiqua"/>
          <w:color w:val="000000"/>
          <w:sz w:val="20"/>
          <w:szCs w:val="20"/>
          <w:lang w:val="en-GB"/>
        </w:rPr>
        <w:t xml:space="preserve">uch scheme, to the extent </w:t>
      </w:r>
      <w:r>
        <w:rPr>
          <w:rFonts w:ascii="Book Antiqua" w:eastAsia="Book Antiqua" w:hAnsi="Book Antiqua"/>
          <w:color w:val="000000"/>
          <w:sz w:val="20"/>
          <w:szCs w:val="20"/>
          <w:lang w:val="en-GB"/>
        </w:rPr>
        <w:t xml:space="preserve">they </w:t>
      </w:r>
      <w:r w:rsidR="003E6B48" w:rsidRPr="00E762AD">
        <w:rPr>
          <w:rFonts w:ascii="Book Antiqua" w:eastAsia="Book Antiqua" w:hAnsi="Book Antiqua"/>
          <w:color w:val="000000"/>
          <w:sz w:val="20"/>
          <w:szCs w:val="20"/>
          <w:lang w:val="en-GB"/>
        </w:rPr>
        <w:t>satisfy the robustness of typical securitisations, should also be considered and included.</w:t>
      </w:r>
    </w:p>
    <w:p w:rsidR="008319F2" w:rsidRPr="00E762AD" w:rsidRDefault="003E6B48" w:rsidP="00E762AD">
      <w:pPr>
        <w:spacing w:after="200" w:line="288" w:lineRule="auto"/>
        <w:jc w:val="both"/>
        <w:textAlignment w:val="baseline"/>
        <w:rPr>
          <w:rFonts w:ascii="Book Antiqua" w:eastAsia="Book Antiqua" w:hAnsi="Book Antiqua"/>
          <w:i/>
          <w:color w:val="000000"/>
          <w:sz w:val="20"/>
          <w:szCs w:val="20"/>
          <w:lang w:val="en-GB"/>
        </w:rPr>
      </w:pPr>
      <w:r w:rsidRPr="00E762AD">
        <w:rPr>
          <w:rFonts w:ascii="Book Antiqua" w:eastAsia="Book Antiqua" w:hAnsi="Book Antiqua"/>
          <w:i/>
          <w:color w:val="000000"/>
          <w:sz w:val="20"/>
          <w:szCs w:val="20"/>
          <w:lang w:val="en-GB"/>
        </w:rPr>
        <w:t>Synthetic securitisation</w:t>
      </w:r>
    </w:p>
    <w:p w:rsidR="008319F2" w:rsidRPr="00E762AD" w:rsidRDefault="00D81D45" w:rsidP="00E762AD">
      <w:pPr>
        <w:spacing w:after="200" w:line="288" w:lineRule="auto"/>
        <w:jc w:val="both"/>
        <w:textAlignment w:val="baseline"/>
        <w:rPr>
          <w:rFonts w:ascii="Book Antiqua" w:eastAsia="Book Antiqua" w:hAnsi="Book Antiqua"/>
          <w:color w:val="000000"/>
          <w:sz w:val="20"/>
          <w:szCs w:val="20"/>
          <w:lang w:val="en-GB"/>
        </w:rPr>
      </w:pPr>
      <w:r>
        <w:rPr>
          <w:rFonts w:ascii="Book Antiqua" w:eastAsia="Book Antiqua" w:hAnsi="Book Antiqua"/>
          <w:color w:val="000000"/>
          <w:sz w:val="20"/>
          <w:szCs w:val="20"/>
          <w:lang w:val="en-GB"/>
        </w:rPr>
        <w:t>T</w:t>
      </w:r>
      <w:r w:rsidR="003E6B48" w:rsidRPr="00E762AD">
        <w:rPr>
          <w:rFonts w:ascii="Book Antiqua" w:eastAsia="Book Antiqua" w:hAnsi="Book Antiqua"/>
          <w:color w:val="000000"/>
          <w:sz w:val="20"/>
          <w:szCs w:val="20"/>
          <w:lang w:val="en-GB"/>
        </w:rPr>
        <w:t xml:space="preserve">he reasons </w:t>
      </w:r>
      <w:r>
        <w:rPr>
          <w:rFonts w:ascii="Book Antiqua" w:eastAsia="Book Antiqua" w:hAnsi="Book Antiqua"/>
          <w:color w:val="000000"/>
          <w:sz w:val="20"/>
          <w:szCs w:val="20"/>
          <w:lang w:val="en-GB"/>
        </w:rPr>
        <w:t xml:space="preserve">outlined </w:t>
      </w:r>
      <w:r w:rsidR="001A6F37">
        <w:rPr>
          <w:rFonts w:ascii="Book Antiqua" w:eastAsia="Book Antiqua" w:hAnsi="Book Antiqua"/>
          <w:color w:val="000000"/>
          <w:sz w:val="20"/>
          <w:szCs w:val="20"/>
          <w:lang w:val="en-GB"/>
        </w:rPr>
        <w:t>for</w:t>
      </w:r>
      <w:r w:rsidR="003E6B48" w:rsidRPr="00E762AD">
        <w:rPr>
          <w:rFonts w:ascii="Book Antiqua" w:eastAsia="Book Antiqua" w:hAnsi="Book Antiqua"/>
          <w:color w:val="000000"/>
          <w:sz w:val="20"/>
          <w:szCs w:val="20"/>
          <w:lang w:val="en-GB"/>
        </w:rPr>
        <w:t xml:space="preserve"> </w:t>
      </w:r>
      <w:r w:rsidR="001A6F37">
        <w:rPr>
          <w:rFonts w:ascii="Book Antiqua" w:eastAsia="Book Antiqua" w:hAnsi="Book Antiqua"/>
          <w:color w:val="000000"/>
          <w:sz w:val="20"/>
          <w:szCs w:val="20"/>
          <w:lang w:val="en-GB"/>
        </w:rPr>
        <w:t>denial</w:t>
      </w:r>
      <w:r w:rsidR="00962A4C">
        <w:rPr>
          <w:rFonts w:ascii="Book Antiqua" w:eastAsia="Book Antiqua" w:hAnsi="Book Antiqua"/>
          <w:color w:val="000000"/>
          <w:sz w:val="20"/>
          <w:szCs w:val="20"/>
          <w:lang w:val="en-GB"/>
        </w:rPr>
        <w:t xml:space="preserve"> </w:t>
      </w:r>
      <w:r w:rsidR="001A6F37">
        <w:rPr>
          <w:rFonts w:ascii="Book Antiqua" w:eastAsia="Book Antiqua" w:hAnsi="Book Antiqua"/>
          <w:color w:val="000000"/>
          <w:sz w:val="20"/>
          <w:szCs w:val="20"/>
          <w:lang w:val="en-GB"/>
        </w:rPr>
        <w:t>of</w:t>
      </w:r>
      <w:r w:rsidR="003E6B48" w:rsidRPr="00E762AD">
        <w:rPr>
          <w:rFonts w:ascii="Book Antiqua" w:eastAsia="Book Antiqua" w:hAnsi="Book Antiqua"/>
          <w:color w:val="000000"/>
          <w:sz w:val="20"/>
          <w:szCs w:val="20"/>
          <w:lang w:val="en-GB"/>
        </w:rPr>
        <w:t xml:space="preserve"> eligibility to synthetic securitisations seem to have little to do with the concepts of simplicity and transparency. </w:t>
      </w:r>
      <w:r w:rsidR="004E69DC">
        <w:rPr>
          <w:rFonts w:ascii="Book Antiqua" w:eastAsia="Book Antiqua" w:hAnsi="Book Antiqua"/>
          <w:color w:val="000000"/>
          <w:sz w:val="20"/>
          <w:szCs w:val="20"/>
          <w:lang w:val="en-GB"/>
        </w:rPr>
        <w:t>Our understanding is that t</w:t>
      </w:r>
      <w:r w:rsidR="003E6B48" w:rsidRPr="00E762AD">
        <w:rPr>
          <w:rFonts w:ascii="Book Antiqua" w:eastAsia="Book Antiqua" w:hAnsi="Book Antiqua"/>
          <w:color w:val="000000"/>
          <w:sz w:val="20"/>
          <w:szCs w:val="20"/>
          <w:lang w:val="en-GB"/>
        </w:rPr>
        <w:t xml:space="preserve">he purpose of the exercise </w:t>
      </w:r>
      <w:r w:rsidR="004E69DC">
        <w:rPr>
          <w:rFonts w:ascii="Book Antiqua" w:eastAsia="Book Antiqua" w:hAnsi="Book Antiqua"/>
          <w:color w:val="000000"/>
          <w:sz w:val="20"/>
          <w:szCs w:val="20"/>
          <w:lang w:val="en-GB"/>
        </w:rPr>
        <w:t xml:space="preserve">undertaken by the European Banking Authority </w:t>
      </w:r>
      <w:r w:rsidR="003E6B48" w:rsidRPr="00E762AD">
        <w:rPr>
          <w:rFonts w:ascii="Book Antiqua" w:eastAsia="Book Antiqua" w:hAnsi="Book Antiqua"/>
          <w:color w:val="000000"/>
          <w:sz w:val="20"/>
          <w:szCs w:val="20"/>
          <w:lang w:val="en-GB"/>
        </w:rPr>
        <w:t xml:space="preserve">should </w:t>
      </w:r>
      <w:r w:rsidR="000672C3">
        <w:rPr>
          <w:rFonts w:ascii="Book Antiqua" w:eastAsia="Book Antiqua" w:hAnsi="Book Antiqua"/>
          <w:color w:val="000000"/>
          <w:sz w:val="20"/>
          <w:szCs w:val="20"/>
          <w:lang w:val="en-GB"/>
        </w:rPr>
        <w:t xml:space="preserve">have </w:t>
      </w:r>
      <w:r w:rsidR="003E6B48" w:rsidRPr="00E762AD">
        <w:rPr>
          <w:rFonts w:ascii="Book Antiqua" w:eastAsia="Book Antiqua" w:hAnsi="Book Antiqua"/>
          <w:color w:val="000000"/>
          <w:sz w:val="20"/>
          <w:szCs w:val="20"/>
          <w:lang w:val="en-GB"/>
        </w:rPr>
        <w:t>be</w:t>
      </w:r>
      <w:r w:rsidR="000672C3">
        <w:rPr>
          <w:rFonts w:ascii="Book Antiqua" w:eastAsia="Book Antiqua" w:hAnsi="Book Antiqua"/>
          <w:color w:val="000000"/>
          <w:sz w:val="20"/>
          <w:szCs w:val="20"/>
          <w:lang w:val="en-GB"/>
        </w:rPr>
        <w:t>en</w:t>
      </w:r>
      <w:r w:rsidR="003E6B48" w:rsidRPr="00E762AD">
        <w:rPr>
          <w:rFonts w:ascii="Book Antiqua" w:eastAsia="Book Antiqua" w:hAnsi="Book Antiqua"/>
          <w:color w:val="000000"/>
          <w:sz w:val="20"/>
          <w:szCs w:val="20"/>
          <w:lang w:val="en-GB"/>
        </w:rPr>
        <w:t xml:space="preserve"> to determine under what conditions </w:t>
      </w:r>
      <w:r w:rsidR="004E69DC">
        <w:rPr>
          <w:rFonts w:ascii="Book Antiqua" w:eastAsia="Book Antiqua" w:hAnsi="Book Antiqua"/>
          <w:color w:val="000000"/>
          <w:sz w:val="20"/>
          <w:szCs w:val="20"/>
          <w:lang w:val="en-GB"/>
        </w:rPr>
        <w:t xml:space="preserve">a </w:t>
      </w:r>
      <w:r w:rsidR="003E6B48" w:rsidRPr="00E762AD">
        <w:rPr>
          <w:rFonts w:ascii="Book Antiqua" w:eastAsia="Book Antiqua" w:hAnsi="Book Antiqua"/>
          <w:color w:val="000000"/>
          <w:sz w:val="20"/>
          <w:szCs w:val="20"/>
          <w:lang w:val="en-GB"/>
        </w:rPr>
        <w:t xml:space="preserve">securitisation - being what it is - can be defined as simple and transparent. Under the current regulatory framework securitisations can be either traditional or synthetic. Synthetic securitisations are transactions (by definition) without </w:t>
      </w:r>
      <w:r w:rsidR="004E69DC" w:rsidRPr="00E762AD">
        <w:rPr>
          <w:rFonts w:ascii="Book Antiqua" w:eastAsia="Book Antiqua" w:hAnsi="Book Antiqua"/>
          <w:color w:val="000000"/>
          <w:sz w:val="20"/>
          <w:szCs w:val="20"/>
          <w:lang w:val="en-GB"/>
        </w:rPr>
        <w:t>a</w:t>
      </w:r>
      <w:r w:rsidR="004E69DC">
        <w:rPr>
          <w:rFonts w:ascii="Book Antiqua" w:eastAsia="Book Antiqua" w:hAnsi="Book Antiqua"/>
          <w:color w:val="000000"/>
          <w:sz w:val="20"/>
          <w:szCs w:val="20"/>
          <w:lang w:val="en-GB"/>
        </w:rPr>
        <w:t xml:space="preserve">n outright </w:t>
      </w:r>
      <w:r w:rsidR="004E69DC" w:rsidRPr="00E762AD">
        <w:rPr>
          <w:rFonts w:ascii="Book Antiqua" w:eastAsia="Book Antiqua" w:hAnsi="Book Antiqua"/>
          <w:color w:val="000000"/>
          <w:sz w:val="20"/>
          <w:szCs w:val="20"/>
          <w:lang w:val="en-GB"/>
        </w:rPr>
        <w:t xml:space="preserve">transfer of </w:t>
      </w:r>
      <w:r w:rsidR="003E6B48" w:rsidRPr="00E762AD">
        <w:rPr>
          <w:rFonts w:ascii="Book Antiqua" w:eastAsia="Book Antiqua" w:hAnsi="Book Antiqua"/>
          <w:color w:val="000000"/>
          <w:sz w:val="20"/>
          <w:szCs w:val="20"/>
          <w:lang w:val="en-GB"/>
        </w:rPr>
        <w:t xml:space="preserve">assets </w:t>
      </w:r>
      <w:r w:rsidR="004E69DC">
        <w:rPr>
          <w:rFonts w:ascii="Book Antiqua" w:eastAsia="Book Antiqua" w:hAnsi="Book Antiqua"/>
          <w:color w:val="000000"/>
          <w:sz w:val="20"/>
          <w:szCs w:val="20"/>
          <w:lang w:val="en-GB"/>
        </w:rPr>
        <w:t>aimed at achieving assets isolation</w:t>
      </w:r>
      <w:r w:rsidR="003E6B48" w:rsidRPr="00E762AD">
        <w:rPr>
          <w:rFonts w:ascii="Book Antiqua" w:eastAsia="Book Antiqua" w:hAnsi="Book Antiqua"/>
          <w:color w:val="000000"/>
          <w:sz w:val="20"/>
          <w:szCs w:val="20"/>
          <w:lang w:val="en-GB"/>
        </w:rPr>
        <w:t xml:space="preserve">. </w:t>
      </w:r>
      <w:r w:rsidR="004E69DC">
        <w:rPr>
          <w:rFonts w:ascii="Book Antiqua" w:eastAsia="Book Antiqua" w:hAnsi="Book Antiqua"/>
          <w:color w:val="000000"/>
          <w:sz w:val="20"/>
          <w:szCs w:val="20"/>
          <w:lang w:val="en-GB"/>
        </w:rPr>
        <w:t>The a</w:t>
      </w:r>
      <w:r w:rsidR="003E6B48" w:rsidRPr="00E762AD">
        <w:rPr>
          <w:rFonts w:ascii="Book Antiqua" w:eastAsia="Book Antiqua" w:hAnsi="Book Antiqua"/>
          <w:color w:val="000000"/>
          <w:sz w:val="20"/>
          <w:szCs w:val="20"/>
          <w:lang w:val="en-GB"/>
        </w:rPr>
        <w:t>ssum</w:t>
      </w:r>
      <w:r w:rsidR="004E69DC">
        <w:rPr>
          <w:rFonts w:ascii="Book Antiqua" w:eastAsia="Book Antiqua" w:hAnsi="Book Antiqua"/>
          <w:color w:val="000000"/>
          <w:sz w:val="20"/>
          <w:szCs w:val="20"/>
          <w:lang w:val="en-GB"/>
        </w:rPr>
        <w:t>ption</w:t>
      </w:r>
      <w:r w:rsidR="003E6B48" w:rsidRPr="00E762AD">
        <w:rPr>
          <w:rFonts w:ascii="Book Antiqua" w:eastAsia="Book Antiqua" w:hAnsi="Book Antiqua"/>
          <w:color w:val="000000"/>
          <w:sz w:val="20"/>
          <w:szCs w:val="20"/>
          <w:lang w:val="en-GB"/>
        </w:rPr>
        <w:t xml:space="preserve"> that synthetic securitisation</w:t>
      </w:r>
      <w:r w:rsidR="004E69DC">
        <w:rPr>
          <w:rFonts w:ascii="Book Antiqua" w:eastAsia="Book Antiqua" w:hAnsi="Book Antiqua"/>
          <w:color w:val="000000"/>
          <w:sz w:val="20"/>
          <w:szCs w:val="20"/>
          <w:lang w:val="en-GB"/>
        </w:rPr>
        <w:t>s</w:t>
      </w:r>
      <w:r w:rsidR="003E6B48" w:rsidRPr="00E762AD">
        <w:rPr>
          <w:rFonts w:ascii="Book Antiqua" w:eastAsia="Book Antiqua" w:hAnsi="Book Antiqua"/>
          <w:color w:val="000000"/>
          <w:sz w:val="20"/>
          <w:szCs w:val="20"/>
          <w:lang w:val="en-GB"/>
        </w:rPr>
        <w:t>, being what they are, can never be simple and transparent because they lack assets isolation is</w:t>
      </w:r>
      <w:r w:rsidR="004E69DC">
        <w:rPr>
          <w:rFonts w:ascii="Book Antiqua" w:eastAsia="Book Antiqua" w:hAnsi="Book Antiqua"/>
          <w:color w:val="000000"/>
          <w:sz w:val="20"/>
          <w:szCs w:val="20"/>
          <w:lang w:val="en-GB"/>
        </w:rPr>
        <w:t>, in our view,</w:t>
      </w:r>
      <w:r w:rsidR="003E6B48" w:rsidRPr="00E762AD">
        <w:rPr>
          <w:rFonts w:ascii="Book Antiqua" w:eastAsia="Book Antiqua" w:hAnsi="Book Antiqua"/>
          <w:color w:val="000000"/>
          <w:sz w:val="20"/>
          <w:szCs w:val="20"/>
          <w:lang w:val="en-GB"/>
        </w:rPr>
        <w:t xml:space="preserve"> an arbitrary conclusion based on a non persuasive reasoning. More importantly, this way an important opportunity </w:t>
      </w:r>
      <w:r w:rsidR="001A6F37">
        <w:rPr>
          <w:rFonts w:ascii="Book Antiqua" w:eastAsia="Book Antiqua" w:hAnsi="Book Antiqua"/>
          <w:color w:val="000000"/>
          <w:sz w:val="20"/>
          <w:szCs w:val="20"/>
          <w:lang w:val="en-GB"/>
        </w:rPr>
        <w:t>might</w:t>
      </w:r>
      <w:r w:rsidR="003E6B48" w:rsidRPr="00E762AD">
        <w:rPr>
          <w:rFonts w:ascii="Book Antiqua" w:eastAsia="Book Antiqua" w:hAnsi="Book Antiqua"/>
          <w:color w:val="000000"/>
          <w:sz w:val="20"/>
          <w:szCs w:val="20"/>
          <w:lang w:val="en-GB"/>
        </w:rPr>
        <w:t xml:space="preserve"> be missed to improve and standardize the market behaviour with regard to this </w:t>
      </w:r>
      <w:r w:rsidR="004E69DC">
        <w:rPr>
          <w:rFonts w:ascii="Book Antiqua" w:eastAsia="Book Antiqua" w:hAnsi="Book Antiqua"/>
          <w:color w:val="000000"/>
          <w:sz w:val="20"/>
          <w:szCs w:val="20"/>
          <w:lang w:val="en-GB"/>
        </w:rPr>
        <w:t xml:space="preserve">specific </w:t>
      </w:r>
      <w:r w:rsidR="003E6B48" w:rsidRPr="00E762AD">
        <w:rPr>
          <w:rFonts w:ascii="Book Antiqua" w:eastAsia="Book Antiqua" w:hAnsi="Book Antiqua"/>
          <w:color w:val="000000"/>
          <w:sz w:val="20"/>
          <w:szCs w:val="20"/>
          <w:lang w:val="en-GB"/>
        </w:rPr>
        <w:t xml:space="preserve">instrument. We strongly believe that the Paper should consider synthetic securitisation for what it is and give market participants a strong indication </w:t>
      </w:r>
      <w:r w:rsidR="004E69DC">
        <w:rPr>
          <w:rFonts w:ascii="Book Antiqua" w:eastAsia="Book Antiqua" w:hAnsi="Book Antiqua"/>
          <w:color w:val="000000"/>
          <w:sz w:val="20"/>
          <w:szCs w:val="20"/>
          <w:lang w:val="en-GB"/>
        </w:rPr>
        <w:t xml:space="preserve">as to </w:t>
      </w:r>
      <w:r w:rsidR="003E6B48" w:rsidRPr="00E762AD">
        <w:rPr>
          <w:rFonts w:ascii="Book Antiqua" w:eastAsia="Book Antiqua" w:hAnsi="Book Antiqua"/>
          <w:color w:val="000000"/>
          <w:sz w:val="20"/>
          <w:szCs w:val="20"/>
          <w:lang w:val="en-GB"/>
        </w:rPr>
        <w:t>a best practice for this type of transactions</w:t>
      </w:r>
      <w:r w:rsidR="004E69DC" w:rsidRPr="004E69DC">
        <w:rPr>
          <w:rFonts w:ascii="Book Antiqua" w:eastAsia="Book Antiqua" w:hAnsi="Book Antiqua"/>
          <w:color w:val="000000"/>
          <w:sz w:val="20"/>
          <w:szCs w:val="20"/>
          <w:lang w:val="en-GB"/>
        </w:rPr>
        <w:t xml:space="preserve"> </w:t>
      </w:r>
      <w:r w:rsidR="004E69DC">
        <w:rPr>
          <w:rFonts w:ascii="Book Antiqua" w:eastAsia="Book Antiqua" w:hAnsi="Book Antiqua"/>
          <w:color w:val="000000"/>
          <w:sz w:val="20"/>
          <w:szCs w:val="20"/>
          <w:lang w:val="en-GB"/>
        </w:rPr>
        <w:t xml:space="preserve">for the purpose of achieving </w:t>
      </w:r>
      <w:r w:rsidR="004E69DC" w:rsidRPr="00E762AD">
        <w:rPr>
          <w:rFonts w:ascii="Book Antiqua" w:eastAsia="Book Antiqua" w:hAnsi="Book Antiqua"/>
          <w:color w:val="000000"/>
          <w:sz w:val="20"/>
          <w:szCs w:val="20"/>
          <w:lang w:val="en-GB"/>
        </w:rPr>
        <w:t>simplicity and transparency</w:t>
      </w:r>
      <w:r w:rsidR="003E6B48" w:rsidRPr="00E762AD">
        <w:rPr>
          <w:rFonts w:ascii="Book Antiqua" w:eastAsia="Book Antiqua" w:hAnsi="Book Antiqua"/>
          <w:color w:val="000000"/>
          <w:sz w:val="20"/>
          <w:szCs w:val="20"/>
          <w:lang w:val="en-GB"/>
        </w:rPr>
        <w:t>.</w:t>
      </w:r>
    </w:p>
    <w:p w:rsidR="004E69DC" w:rsidRPr="00E762AD" w:rsidRDefault="004E69DC" w:rsidP="004E69DC">
      <w:pPr>
        <w:keepNext/>
        <w:widowControl w:val="0"/>
        <w:spacing w:after="200" w:line="288" w:lineRule="auto"/>
        <w:jc w:val="both"/>
        <w:textAlignment w:val="baseline"/>
        <w:rPr>
          <w:rFonts w:ascii="Book Antiqua" w:eastAsia="Book Antiqua" w:hAnsi="Book Antiqua"/>
          <w:color w:val="000000"/>
          <w:sz w:val="20"/>
          <w:szCs w:val="20"/>
          <w:u w:val="single"/>
          <w:lang w:val="en-GB"/>
        </w:rPr>
      </w:pPr>
      <w:r w:rsidRPr="00E762AD">
        <w:rPr>
          <w:rFonts w:ascii="Book Antiqua" w:eastAsia="Book Antiqua" w:hAnsi="Book Antiqua"/>
          <w:color w:val="000000"/>
          <w:sz w:val="20"/>
          <w:szCs w:val="20"/>
          <w:u w:val="single"/>
          <w:lang w:val="en-GB"/>
        </w:rPr>
        <w:t xml:space="preserve">Criterion </w:t>
      </w:r>
      <w:r>
        <w:rPr>
          <w:rFonts w:ascii="Book Antiqua" w:eastAsia="Book Antiqua" w:hAnsi="Book Antiqua"/>
          <w:color w:val="000000"/>
          <w:sz w:val="20"/>
          <w:szCs w:val="20"/>
          <w:u w:val="single"/>
          <w:lang w:val="en-GB"/>
        </w:rPr>
        <w:t>3</w:t>
      </w:r>
    </w:p>
    <w:p w:rsidR="008319F2" w:rsidRPr="00E762AD" w:rsidRDefault="003E6B48" w:rsidP="00E762AD">
      <w:pPr>
        <w:spacing w:after="200" w:line="288" w:lineRule="auto"/>
        <w:jc w:val="both"/>
        <w:textAlignment w:val="baseline"/>
        <w:rPr>
          <w:rFonts w:ascii="Book Antiqua" w:eastAsia="Book Antiqua" w:hAnsi="Book Antiqua"/>
          <w:color w:val="000000"/>
          <w:sz w:val="20"/>
          <w:szCs w:val="20"/>
          <w:lang w:val="en-GB"/>
        </w:rPr>
      </w:pPr>
      <w:r w:rsidRPr="00E762AD">
        <w:rPr>
          <w:rFonts w:ascii="Book Antiqua" w:eastAsia="Book Antiqua" w:hAnsi="Book Antiqua"/>
          <w:color w:val="000000"/>
          <w:sz w:val="20"/>
          <w:szCs w:val="20"/>
          <w:lang w:val="en-GB"/>
        </w:rPr>
        <w:t>The reference to claw back provisions should be better qualified. The existence and abstract applicability of claw back provisions (including those defined as “severe”) should not</w:t>
      </w:r>
      <w:r w:rsidR="004E69DC">
        <w:rPr>
          <w:rFonts w:ascii="Book Antiqua" w:eastAsia="Book Antiqua" w:hAnsi="Book Antiqua"/>
          <w:color w:val="000000"/>
          <w:sz w:val="20"/>
          <w:szCs w:val="20"/>
          <w:lang w:val="en-GB"/>
        </w:rPr>
        <w:t>,</w:t>
      </w:r>
      <w:r w:rsidRPr="00E762AD">
        <w:rPr>
          <w:rFonts w:ascii="Book Antiqua" w:eastAsia="Book Antiqua" w:hAnsi="Book Antiqua"/>
          <w:color w:val="000000"/>
          <w:sz w:val="20"/>
          <w:szCs w:val="20"/>
          <w:lang w:val="en-GB"/>
        </w:rPr>
        <w:t xml:space="preserve"> per se</w:t>
      </w:r>
      <w:r w:rsidR="004E69DC">
        <w:rPr>
          <w:rFonts w:ascii="Book Antiqua" w:eastAsia="Book Antiqua" w:hAnsi="Book Antiqua"/>
          <w:color w:val="000000"/>
          <w:sz w:val="20"/>
          <w:szCs w:val="20"/>
          <w:lang w:val="en-GB"/>
        </w:rPr>
        <w:t>,</w:t>
      </w:r>
      <w:r w:rsidRPr="00E762AD">
        <w:rPr>
          <w:rFonts w:ascii="Book Antiqua" w:eastAsia="Book Antiqua" w:hAnsi="Book Antiqua"/>
          <w:color w:val="000000"/>
          <w:sz w:val="20"/>
          <w:szCs w:val="20"/>
          <w:lang w:val="en-GB"/>
        </w:rPr>
        <w:t xml:space="preserve"> prevent the achievement of eligibility. The legal robustness of the structure and the strength of the assets isolation are factors which are already taken into account in the rating analysis and</w:t>
      </w:r>
      <w:r w:rsidR="000672C3">
        <w:rPr>
          <w:rFonts w:ascii="Book Antiqua" w:eastAsia="Book Antiqua" w:hAnsi="Book Antiqua"/>
          <w:color w:val="000000"/>
          <w:sz w:val="20"/>
          <w:szCs w:val="20"/>
          <w:lang w:val="en-GB"/>
        </w:rPr>
        <w:t>,</w:t>
      </w:r>
      <w:r w:rsidRPr="00E762AD">
        <w:rPr>
          <w:rFonts w:ascii="Book Antiqua" w:eastAsia="Book Antiqua" w:hAnsi="Book Antiqua"/>
          <w:color w:val="000000"/>
          <w:sz w:val="20"/>
          <w:szCs w:val="20"/>
          <w:lang w:val="en-GB"/>
        </w:rPr>
        <w:t xml:space="preserve"> </w:t>
      </w:r>
      <w:r w:rsidR="004E69DC" w:rsidRPr="00E762AD">
        <w:rPr>
          <w:rFonts w:ascii="Book Antiqua" w:eastAsia="Book Antiqua" w:hAnsi="Book Antiqua"/>
          <w:color w:val="000000"/>
          <w:sz w:val="20"/>
          <w:szCs w:val="20"/>
          <w:lang w:val="en-GB"/>
        </w:rPr>
        <w:t>therefore</w:t>
      </w:r>
      <w:r w:rsidR="000672C3">
        <w:rPr>
          <w:rFonts w:ascii="Book Antiqua" w:eastAsia="Book Antiqua" w:hAnsi="Book Antiqua"/>
          <w:color w:val="000000"/>
          <w:sz w:val="20"/>
          <w:szCs w:val="20"/>
          <w:lang w:val="en-GB"/>
        </w:rPr>
        <w:t>,</w:t>
      </w:r>
      <w:r w:rsidR="004E69DC" w:rsidRPr="00E762AD">
        <w:rPr>
          <w:rFonts w:ascii="Book Antiqua" w:eastAsia="Book Antiqua" w:hAnsi="Book Antiqua"/>
          <w:color w:val="000000"/>
          <w:sz w:val="20"/>
          <w:szCs w:val="20"/>
          <w:lang w:val="en-GB"/>
        </w:rPr>
        <w:t xml:space="preserve"> </w:t>
      </w:r>
      <w:r w:rsidRPr="00E762AD">
        <w:rPr>
          <w:rFonts w:ascii="Book Antiqua" w:eastAsia="Book Antiqua" w:hAnsi="Book Antiqua"/>
          <w:color w:val="000000"/>
          <w:sz w:val="20"/>
          <w:szCs w:val="20"/>
          <w:lang w:val="en-GB"/>
        </w:rPr>
        <w:t>we question the need to duplicate this analysis in the form of an eligibility criterion, especially in relation to matters that require a complex legal analysis and hardly lend themselves to the type of simplification that a rigid “one definition fits all” criterion inevitably imposes.</w:t>
      </w:r>
    </w:p>
    <w:p w:rsidR="008319F2" w:rsidRPr="004E69DC" w:rsidRDefault="004E69DC" w:rsidP="004E69DC">
      <w:pPr>
        <w:keepNext/>
        <w:widowControl w:val="0"/>
        <w:spacing w:after="200" w:line="288" w:lineRule="auto"/>
        <w:jc w:val="both"/>
        <w:textAlignment w:val="baseline"/>
        <w:rPr>
          <w:rFonts w:ascii="Book Antiqua" w:eastAsia="Book Antiqua" w:hAnsi="Book Antiqua"/>
          <w:color w:val="000000"/>
          <w:sz w:val="20"/>
          <w:szCs w:val="20"/>
          <w:u w:val="single"/>
          <w:lang w:val="en-GB"/>
        </w:rPr>
      </w:pPr>
      <w:r w:rsidRPr="004E69DC">
        <w:rPr>
          <w:rFonts w:ascii="Book Antiqua" w:eastAsia="Book Antiqua" w:hAnsi="Book Antiqua"/>
          <w:color w:val="000000"/>
          <w:sz w:val="20"/>
          <w:szCs w:val="20"/>
          <w:u w:val="single"/>
          <w:lang w:val="en-GB"/>
        </w:rPr>
        <w:t xml:space="preserve">Criterion </w:t>
      </w:r>
      <w:r w:rsidR="003E6B48" w:rsidRPr="004E69DC">
        <w:rPr>
          <w:rFonts w:ascii="Book Antiqua" w:eastAsia="Book Antiqua" w:hAnsi="Book Antiqua"/>
          <w:color w:val="000000"/>
          <w:sz w:val="20"/>
          <w:szCs w:val="20"/>
          <w:u w:val="single"/>
          <w:lang w:val="en-GB"/>
        </w:rPr>
        <w:t xml:space="preserve">4, </w:t>
      </w:r>
      <w:r w:rsidRPr="004E69DC">
        <w:rPr>
          <w:rFonts w:ascii="Book Antiqua" w:eastAsia="Book Antiqua" w:hAnsi="Book Antiqua"/>
          <w:color w:val="000000"/>
          <w:sz w:val="20"/>
          <w:szCs w:val="20"/>
          <w:u w:val="single"/>
          <w:lang w:val="en-GB"/>
        </w:rPr>
        <w:t xml:space="preserve">point </w:t>
      </w:r>
      <w:r w:rsidR="003E6B48" w:rsidRPr="004E69DC">
        <w:rPr>
          <w:rFonts w:ascii="Book Antiqua" w:eastAsia="Book Antiqua" w:hAnsi="Book Antiqua"/>
          <w:color w:val="000000"/>
          <w:sz w:val="20"/>
          <w:szCs w:val="20"/>
          <w:u w:val="single"/>
          <w:lang w:val="en-GB"/>
        </w:rPr>
        <w:t>(iii)</w:t>
      </w:r>
    </w:p>
    <w:p w:rsidR="008319F2" w:rsidRPr="00E762AD" w:rsidRDefault="003E6B48" w:rsidP="00E762AD">
      <w:pPr>
        <w:spacing w:after="200" w:line="288" w:lineRule="auto"/>
        <w:jc w:val="both"/>
        <w:textAlignment w:val="baseline"/>
        <w:rPr>
          <w:rFonts w:ascii="Book Antiqua" w:eastAsia="Book Antiqua" w:hAnsi="Book Antiqua"/>
          <w:color w:val="000000"/>
          <w:sz w:val="20"/>
          <w:szCs w:val="20"/>
          <w:lang w:val="en-GB"/>
        </w:rPr>
      </w:pPr>
      <w:r w:rsidRPr="00E762AD">
        <w:rPr>
          <w:rFonts w:ascii="Book Antiqua" w:eastAsia="Book Antiqua" w:hAnsi="Book Antiqua"/>
          <w:color w:val="000000"/>
          <w:sz w:val="20"/>
          <w:szCs w:val="20"/>
          <w:lang w:val="en-GB"/>
        </w:rPr>
        <w:t xml:space="preserve">The criterion that the obligor’s obligation should be “enforceable in accordance with its terms” should </w:t>
      </w:r>
      <w:r w:rsidR="000672C3">
        <w:rPr>
          <w:rFonts w:ascii="Book Antiqua" w:eastAsia="Book Antiqua" w:hAnsi="Book Antiqua"/>
          <w:color w:val="000000"/>
          <w:sz w:val="20"/>
          <w:szCs w:val="20"/>
          <w:lang w:val="en-GB"/>
        </w:rPr>
        <w:t>be subject to</w:t>
      </w:r>
      <w:r w:rsidRPr="00E762AD">
        <w:rPr>
          <w:rFonts w:ascii="Book Antiqua" w:eastAsia="Book Antiqua" w:hAnsi="Book Antiqua"/>
          <w:color w:val="000000"/>
          <w:sz w:val="20"/>
          <w:szCs w:val="20"/>
          <w:lang w:val="en-GB"/>
        </w:rPr>
        <w:t xml:space="preserve"> standard qualifications.</w:t>
      </w:r>
    </w:p>
    <w:p w:rsidR="008319F2" w:rsidRPr="004E69DC" w:rsidRDefault="004E69DC" w:rsidP="004E69DC">
      <w:pPr>
        <w:keepNext/>
        <w:widowControl w:val="0"/>
        <w:spacing w:after="200" w:line="288" w:lineRule="auto"/>
        <w:jc w:val="both"/>
        <w:textAlignment w:val="baseline"/>
        <w:rPr>
          <w:rFonts w:ascii="Book Antiqua" w:eastAsia="Book Antiqua" w:hAnsi="Book Antiqua"/>
          <w:color w:val="000000"/>
          <w:sz w:val="20"/>
          <w:szCs w:val="20"/>
          <w:u w:val="single"/>
          <w:lang w:val="en-GB"/>
        </w:rPr>
      </w:pPr>
      <w:r w:rsidRPr="004E69DC">
        <w:rPr>
          <w:rFonts w:ascii="Book Antiqua" w:eastAsia="Book Antiqua" w:hAnsi="Book Antiqua"/>
          <w:color w:val="000000"/>
          <w:sz w:val="20"/>
          <w:szCs w:val="20"/>
          <w:u w:val="single"/>
          <w:lang w:val="en-GB"/>
        </w:rPr>
        <w:lastRenderedPageBreak/>
        <w:t>Criterion 4</w:t>
      </w:r>
      <w:r w:rsidR="003E6B48" w:rsidRPr="004E69DC">
        <w:rPr>
          <w:rFonts w:ascii="Book Antiqua" w:eastAsia="Book Antiqua" w:hAnsi="Book Antiqua"/>
          <w:color w:val="000000"/>
          <w:sz w:val="20"/>
          <w:szCs w:val="20"/>
          <w:u w:val="single"/>
          <w:lang w:val="en-GB"/>
        </w:rPr>
        <w:t xml:space="preserve">, </w:t>
      </w:r>
      <w:r w:rsidRPr="004E69DC">
        <w:rPr>
          <w:rFonts w:ascii="Book Antiqua" w:eastAsia="Book Antiqua" w:hAnsi="Book Antiqua"/>
          <w:color w:val="000000"/>
          <w:sz w:val="20"/>
          <w:szCs w:val="20"/>
          <w:u w:val="single"/>
          <w:lang w:val="en-GB"/>
        </w:rPr>
        <w:t>point (iv), letter (</w:t>
      </w:r>
      <w:r w:rsidR="003E6B48" w:rsidRPr="004E69DC">
        <w:rPr>
          <w:rFonts w:ascii="Book Antiqua" w:eastAsia="Book Antiqua" w:hAnsi="Book Antiqua"/>
          <w:color w:val="000000"/>
          <w:sz w:val="20"/>
          <w:szCs w:val="20"/>
          <w:u w:val="single"/>
          <w:lang w:val="en-GB"/>
        </w:rPr>
        <w:t>a)</w:t>
      </w:r>
    </w:p>
    <w:p w:rsidR="004E69DC" w:rsidRDefault="004E69DC" w:rsidP="004E69DC">
      <w:pPr>
        <w:spacing w:after="200" w:line="288" w:lineRule="auto"/>
        <w:jc w:val="both"/>
        <w:textAlignment w:val="baseline"/>
        <w:rPr>
          <w:rFonts w:ascii="Book Antiqua" w:eastAsia="Book Antiqua" w:hAnsi="Book Antiqua"/>
          <w:color w:val="000000"/>
          <w:sz w:val="20"/>
          <w:szCs w:val="20"/>
          <w:lang w:val="en-GB"/>
        </w:rPr>
      </w:pPr>
      <w:r>
        <w:rPr>
          <w:rFonts w:ascii="Book Antiqua" w:eastAsia="Book Antiqua" w:hAnsi="Book Antiqua"/>
          <w:color w:val="000000"/>
          <w:sz w:val="20"/>
          <w:szCs w:val="20"/>
          <w:lang w:val="en-GB"/>
        </w:rPr>
        <w:t>We believe that a r</w:t>
      </w:r>
      <w:r w:rsidR="003E6B48" w:rsidRPr="00E762AD">
        <w:rPr>
          <w:rFonts w:ascii="Book Antiqua" w:eastAsia="Book Antiqua" w:hAnsi="Book Antiqua"/>
          <w:color w:val="000000"/>
          <w:sz w:val="20"/>
          <w:szCs w:val="20"/>
          <w:lang w:val="en-GB"/>
        </w:rPr>
        <w:t>eference to investment funds (which are neither individuals nor corporates) as eligible underwriters</w:t>
      </w:r>
      <w:r>
        <w:rPr>
          <w:rFonts w:ascii="Book Antiqua" w:eastAsia="Book Antiqua" w:hAnsi="Book Antiqua"/>
          <w:color w:val="000000"/>
          <w:sz w:val="20"/>
          <w:szCs w:val="20"/>
          <w:lang w:val="en-GB"/>
        </w:rPr>
        <w:t xml:space="preserve"> should be added.</w:t>
      </w:r>
    </w:p>
    <w:p w:rsidR="003E6B48" w:rsidRPr="003E6B48" w:rsidRDefault="003E6B48" w:rsidP="003E6B48">
      <w:pPr>
        <w:keepNext/>
        <w:widowControl w:val="0"/>
        <w:spacing w:after="200" w:line="288" w:lineRule="auto"/>
        <w:jc w:val="both"/>
        <w:textAlignment w:val="baseline"/>
        <w:rPr>
          <w:rFonts w:ascii="Book Antiqua" w:eastAsia="Book Antiqua" w:hAnsi="Book Antiqua"/>
          <w:color w:val="000000"/>
          <w:sz w:val="20"/>
          <w:szCs w:val="20"/>
          <w:u w:val="single"/>
          <w:lang w:val="en-GB"/>
        </w:rPr>
      </w:pPr>
      <w:r w:rsidRPr="003E6B48">
        <w:rPr>
          <w:rFonts w:ascii="Book Antiqua" w:eastAsia="Book Antiqua" w:hAnsi="Book Antiqua"/>
          <w:color w:val="000000"/>
          <w:sz w:val="20"/>
          <w:szCs w:val="20"/>
          <w:u w:val="single"/>
          <w:lang w:val="en-GB"/>
        </w:rPr>
        <w:t>Criterion 5</w:t>
      </w:r>
    </w:p>
    <w:p w:rsidR="003E6B48" w:rsidRPr="00E762AD" w:rsidRDefault="003E6B48" w:rsidP="003E6B48">
      <w:pPr>
        <w:spacing w:after="200" w:line="288" w:lineRule="auto"/>
        <w:jc w:val="both"/>
        <w:textAlignment w:val="baseline"/>
        <w:rPr>
          <w:rFonts w:ascii="Book Antiqua" w:eastAsia="Book Antiqua" w:hAnsi="Book Antiqua"/>
          <w:color w:val="000000"/>
          <w:sz w:val="20"/>
          <w:szCs w:val="20"/>
          <w:lang w:val="en-GB"/>
        </w:rPr>
      </w:pPr>
      <w:r w:rsidRPr="003E6B48">
        <w:rPr>
          <w:rFonts w:ascii="Book Antiqua" w:eastAsia="Book Antiqua" w:hAnsi="Book Antiqua"/>
          <w:color w:val="000000"/>
          <w:sz w:val="20"/>
          <w:szCs w:val="20"/>
          <w:lang w:val="en-GB"/>
        </w:rPr>
        <w:t>“</w:t>
      </w:r>
      <w:r w:rsidRPr="003E6B48">
        <w:rPr>
          <w:rFonts w:ascii="Book Antiqua" w:eastAsia="Book Antiqua" w:hAnsi="Book Antiqua"/>
          <w:i/>
          <w:color w:val="000000"/>
          <w:sz w:val="20"/>
          <w:szCs w:val="20"/>
          <w:lang w:val="en-GB"/>
        </w:rPr>
        <w:t>The original lender should provide representations and warranties that assets being included in the securitisation are not subject to any condition or encumbrance that can be foreseen to adversely affect enforceability in respect of collections due</w:t>
      </w:r>
      <w:r>
        <w:rPr>
          <w:rFonts w:ascii="Book Antiqua" w:eastAsia="Book Antiqua" w:hAnsi="Book Antiqua"/>
          <w:color w:val="000000"/>
          <w:sz w:val="20"/>
          <w:szCs w:val="20"/>
          <w:lang w:val="en-GB"/>
        </w:rPr>
        <w:t xml:space="preserve">”: </w:t>
      </w:r>
      <w:r w:rsidRPr="00E762AD">
        <w:rPr>
          <w:rFonts w:ascii="Book Antiqua" w:eastAsia="Book Antiqua" w:hAnsi="Book Antiqua"/>
          <w:color w:val="000000"/>
          <w:sz w:val="20"/>
          <w:szCs w:val="20"/>
          <w:lang w:val="en-GB"/>
        </w:rPr>
        <w:t>the exact scope of this representations is not clear</w:t>
      </w:r>
      <w:r>
        <w:rPr>
          <w:rFonts w:ascii="Book Antiqua" w:eastAsia="Book Antiqua" w:hAnsi="Book Antiqua"/>
          <w:color w:val="000000"/>
          <w:sz w:val="20"/>
          <w:szCs w:val="20"/>
          <w:lang w:val="en-GB"/>
        </w:rPr>
        <w:t>.</w:t>
      </w:r>
      <w:r w:rsidRPr="00E762AD">
        <w:rPr>
          <w:rFonts w:ascii="Book Antiqua" w:eastAsia="Book Antiqua" w:hAnsi="Book Antiqua"/>
          <w:color w:val="000000"/>
          <w:sz w:val="20"/>
          <w:szCs w:val="20"/>
          <w:lang w:val="en-GB"/>
        </w:rPr>
        <w:t xml:space="preserve"> </w:t>
      </w:r>
      <w:r>
        <w:rPr>
          <w:rFonts w:ascii="Book Antiqua" w:eastAsia="Book Antiqua" w:hAnsi="Book Antiqua"/>
          <w:color w:val="000000"/>
          <w:sz w:val="20"/>
          <w:szCs w:val="20"/>
          <w:lang w:val="en-GB"/>
        </w:rPr>
        <w:t>I</w:t>
      </w:r>
      <w:r w:rsidRPr="00E762AD">
        <w:rPr>
          <w:rFonts w:ascii="Book Antiqua" w:eastAsia="Book Antiqua" w:hAnsi="Book Antiqua"/>
          <w:color w:val="000000"/>
          <w:sz w:val="20"/>
          <w:szCs w:val="20"/>
          <w:lang w:val="en-GB"/>
        </w:rPr>
        <w:t>t would be useful to have more background and some exemplifications in order to understand what circumstances the</w:t>
      </w:r>
      <w:r>
        <w:rPr>
          <w:rFonts w:ascii="Book Antiqua" w:eastAsia="Book Antiqua" w:hAnsi="Book Antiqua"/>
          <w:color w:val="000000"/>
          <w:sz w:val="20"/>
          <w:szCs w:val="20"/>
          <w:lang w:val="en-GB"/>
        </w:rPr>
        <w:t>se</w:t>
      </w:r>
      <w:r w:rsidRPr="00E762AD">
        <w:rPr>
          <w:rFonts w:ascii="Book Antiqua" w:eastAsia="Book Antiqua" w:hAnsi="Book Antiqua"/>
          <w:color w:val="000000"/>
          <w:sz w:val="20"/>
          <w:szCs w:val="20"/>
          <w:lang w:val="en-GB"/>
        </w:rPr>
        <w:t xml:space="preserve"> representations </w:t>
      </w:r>
      <w:r>
        <w:rPr>
          <w:rFonts w:ascii="Book Antiqua" w:eastAsia="Book Antiqua" w:hAnsi="Book Antiqua"/>
          <w:color w:val="000000"/>
          <w:sz w:val="20"/>
          <w:szCs w:val="20"/>
          <w:lang w:val="en-GB"/>
        </w:rPr>
        <w:t>are</w:t>
      </w:r>
      <w:r w:rsidRPr="00E762AD">
        <w:rPr>
          <w:rFonts w:ascii="Book Antiqua" w:eastAsia="Book Antiqua" w:hAnsi="Book Antiqua"/>
          <w:color w:val="000000"/>
          <w:sz w:val="20"/>
          <w:szCs w:val="20"/>
          <w:lang w:val="en-GB"/>
        </w:rPr>
        <w:t xml:space="preserve"> aimed </w:t>
      </w:r>
      <w:r w:rsidR="004D6802">
        <w:rPr>
          <w:rFonts w:ascii="Book Antiqua" w:eastAsia="Book Antiqua" w:hAnsi="Book Antiqua"/>
          <w:color w:val="000000"/>
          <w:sz w:val="20"/>
          <w:szCs w:val="20"/>
          <w:lang w:val="en-GB"/>
        </w:rPr>
        <w:t>at</w:t>
      </w:r>
      <w:r w:rsidRPr="00E762AD">
        <w:rPr>
          <w:rFonts w:ascii="Book Antiqua" w:eastAsia="Book Antiqua" w:hAnsi="Book Antiqua"/>
          <w:color w:val="000000"/>
          <w:sz w:val="20"/>
          <w:szCs w:val="20"/>
          <w:lang w:val="en-GB"/>
        </w:rPr>
        <w:t xml:space="preserve"> captur</w:t>
      </w:r>
      <w:r w:rsidR="004D6802">
        <w:rPr>
          <w:rFonts w:ascii="Book Antiqua" w:eastAsia="Book Antiqua" w:hAnsi="Book Antiqua"/>
          <w:color w:val="000000"/>
          <w:sz w:val="20"/>
          <w:szCs w:val="20"/>
          <w:lang w:val="en-GB"/>
        </w:rPr>
        <w:t>ing</w:t>
      </w:r>
      <w:r w:rsidRPr="00E762AD">
        <w:rPr>
          <w:rFonts w:ascii="Book Antiqua" w:eastAsia="Book Antiqua" w:hAnsi="Book Antiqua"/>
          <w:color w:val="000000"/>
          <w:sz w:val="20"/>
          <w:szCs w:val="20"/>
          <w:lang w:val="en-GB"/>
        </w:rPr>
        <w:t>. Also, the representation</w:t>
      </w:r>
      <w:r>
        <w:rPr>
          <w:rFonts w:ascii="Book Antiqua" w:eastAsia="Book Antiqua" w:hAnsi="Book Antiqua"/>
          <w:color w:val="000000"/>
          <w:sz w:val="20"/>
          <w:szCs w:val="20"/>
          <w:lang w:val="en-GB"/>
        </w:rPr>
        <w:t>s</w:t>
      </w:r>
      <w:r w:rsidRPr="00E762AD">
        <w:rPr>
          <w:rFonts w:ascii="Book Antiqua" w:eastAsia="Book Antiqua" w:hAnsi="Book Antiqua"/>
          <w:color w:val="000000"/>
          <w:sz w:val="20"/>
          <w:szCs w:val="20"/>
          <w:lang w:val="en-GB"/>
        </w:rPr>
        <w:t xml:space="preserve"> should be made on the basis of the “actual knowledge” of the original lender.</w:t>
      </w:r>
    </w:p>
    <w:p w:rsidR="00503CE7" w:rsidRPr="00E762AD" w:rsidRDefault="00503CE7" w:rsidP="00503CE7">
      <w:pPr>
        <w:tabs>
          <w:tab w:val="left" w:pos="2694"/>
        </w:tabs>
        <w:spacing w:after="200" w:line="288" w:lineRule="auto"/>
        <w:jc w:val="both"/>
        <w:textAlignment w:val="baseline"/>
        <w:rPr>
          <w:rFonts w:ascii="Book Antiqua" w:eastAsia="Book Antiqua" w:hAnsi="Book Antiqua"/>
          <w:b/>
          <w:color w:val="000000"/>
          <w:sz w:val="20"/>
          <w:szCs w:val="20"/>
          <w:lang w:val="en-GB"/>
        </w:rPr>
      </w:pPr>
      <w:r w:rsidRPr="00E762AD">
        <w:rPr>
          <w:rFonts w:ascii="Book Antiqua" w:eastAsia="Book Antiqua" w:hAnsi="Book Antiqua"/>
          <w:b/>
          <w:color w:val="000000"/>
          <w:sz w:val="20"/>
          <w:szCs w:val="20"/>
          <w:lang w:val="en-GB"/>
        </w:rPr>
        <w:t>Pillar I</w:t>
      </w:r>
      <w:r>
        <w:rPr>
          <w:rFonts w:ascii="Book Antiqua" w:eastAsia="Book Antiqua" w:hAnsi="Book Antiqua"/>
          <w:b/>
          <w:color w:val="000000"/>
          <w:sz w:val="20"/>
          <w:szCs w:val="20"/>
          <w:lang w:val="en-GB"/>
        </w:rPr>
        <w:t>I</w:t>
      </w:r>
      <w:r w:rsidRPr="00E762AD">
        <w:rPr>
          <w:rFonts w:ascii="Book Antiqua" w:eastAsia="Book Antiqua" w:hAnsi="Book Antiqua"/>
          <w:b/>
          <w:color w:val="000000"/>
          <w:sz w:val="20"/>
          <w:szCs w:val="20"/>
          <w:lang w:val="en-GB"/>
        </w:rPr>
        <w:t xml:space="preserve">: </w:t>
      </w:r>
      <w:r>
        <w:rPr>
          <w:rFonts w:ascii="Book Antiqua" w:eastAsia="Book Antiqua" w:hAnsi="Book Antiqua"/>
          <w:b/>
          <w:color w:val="000000"/>
          <w:sz w:val="20"/>
          <w:szCs w:val="20"/>
          <w:lang w:val="en-GB"/>
        </w:rPr>
        <w:t xml:space="preserve">standard </w:t>
      </w:r>
      <w:r w:rsidRPr="00E762AD">
        <w:rPr>
          <w:rFonts w:ascii="Book Antiqua" w:eastAsia="Book Antiqua" w:hAnsi="Book Antiqua"/>
          <w:b/>
          <w:color w:val="000000"/>
          <w:sz w:val="20"/>
          <w:szCs w:val="20"/>
          <w:lang w:val="en-GB"/>
        </w:rPr>
        <w:t>securitisations</w:t>
      </w:r>
    </w:p>
    <w:p w:rsidR="00503CE7" w:rsidRDefault="00503CE7" w:rsidP="00852751">
      <w:pPr>
        <w:keepNext/>
        <w:widowControl w:val="0"/>
        <w:spacing w:after="200" w:line="288" w:lineRule="auto"/>
        <w:jc w:val="both"/>
        <w:textAlignment w:val="baseline"/>
        <w:rPr>
          <w:rFonts w:ascii="Book Antiqua" w:eastAsia="Book Antiqua" w:hAnsi="Book Antiqua"/>
          <w:color w:val="000000"/>
          <w:sz w:val="20"/>
          <w:szCs w:val="20"/>
          <w:lang w:val="en-GB"/>
        </w:rPr>
      </w:pPr>
      <w:bookmarkStart w:id="0" w:name="_GoBack"/>
      <w:bookmarkEnd w:id="0"/>
      <w:r w:rsidRPr="004E69DC">
        <w:rPr>
          <w:rFonts w:ascii="Book Antiqua" w:eastAsia="Book Antiqua" w:hAnsi="Book Antiqua"/>
          <w:color w:val="000000"/>
          <w:sz w:val="20"/>
          <w:szCs w:val="20"/>
          <w:u w:val="single"/>
          <w:lang w:val="en-GB"/>
        </w:rPr>
        <w:t xml:space="preserve">Criterion </w:t>
      </w:r>
      <w:r>
        <w:rPr>
          <w:rFonts w:ascii="Book Antiqua" w:eastAsia="Book Antiqua" w:hAnsi="Book Antiqua"/>
          <w:color w:val="000000"/>
          <w:sz w:val="20"/>
          <w:szCs w:val="20"/>
          <w:u w:val="single"/>
          <w:lang w:val="en-GB"/>
        </w:rPr>
        <w:t>13</w:t>
      </w:r>
    </w:p>
    <w:p w:rsidR="00BC66CE" w:rsidRDefault="003E6B48" w:rsidP="00E762AD">
      <w:pPr>
        <w:spacing w:after="200" w:line="288" w:lineRule="auto"/>
        <w:jc w:val="both"/>
        <w:textAlignment w:val="baseline"/>
        <w:rPr>
          <w:rFonts w:ascii="Book Antiqua" w:eastAsia="Book Antiqua" w:hAnsi="Book Antiqua"/>
          <w:color w:val="000000"/>
          <w:sz w:val="20"/>
          <w:szCs w:val="20"/>
          <w:lang w:val="en-GB"/>
        </w:rPr>
      </w:pPr>
      <w:r w:rsidRPr="00E762AD">
        <w:rPr>
          <w:rFonts w:ascii="Book Antiqua" w:eastAsia="Book Antiqua" w:hAnsi="Book Antiqua"/>
          <w:color w:val="000000"/>
          <w:sz w:val="20"/>
          <w:szCs w:val="20"/>
          <w:lang w:val="en-GB"/>
        </w:rPr>
        <w:t xml:space="preserve">This criterion refers to “ </w:t>
      </w:r>
      <w:r w:rsidRPr="00E762AD">
        <w:rPr>
          <w:rFonts w:ascii="Book Antiqua" w:eastAsia="Book Antiqua" w:hAnsi="Book Antiqua"/>
          <w:i/>
          <w:color w:val="000000"/>
          <w:sz w:val="20"/>
          <w:szCs w:val="20"/>
          <w:lang w:val="en-GB"/>
        </w:rPr>
        <w:t>[...] timely resolution of conflicts between different classes of note holders by the “identified person</w:t>
      </w:r>
      <w:r w:rsidRPr="00E762AD">
        <w:rPr>
          <w:rFonts w:ascii="Book Antiqua" w:eastAsia="Book Antiqua" w:hAnsi="Book Antiqua"/>
          <w:color w:val="000000"/>
          <w:sz w:val="20"/>
          <w:szCs w:val="20"/>
          <w:lang w:val="en-GB"/>
        </w:rPr>
        <w:t>”</w:t>
      </w:r>
      <w:r w:rsidR="00BC66CE" w:rsidRPr="00503CE7">
        <w:rPr>
          <w:rFonts w:ascii="Book Antiqua" w:eastAsia="Book Antiqua" w:hAnsi="Book Antiqua"/>
          <w:color w:val="000000"/>
          <w:sz w:val="20"/>
          <w:szCs w:val="20"/>
          <w:lang w:val="en-GB"/>
        </w:rPr>
        <w:t>, where</w:t>
      </w:r>
      <w:r w:rsidR="00BC66CE">
        <w:rPr>
          <w:rFonts w:ascii="Book Antiqua" w:eastAsia="Book Antiqua" w:hAnsi="Book Antiqua"/>
          <w:color w:val="000000"/>
          <w:sz w:val="20"/>
          <w:szCs w:val="20"/>
          <w:lang w:val="en-GB"/>
        </w:rPr>
        <w:t xml:space="preserve"> (typically)</w:t>
      </w:r>
      <w:r w:rsidR="00BC66CE" w:rsidRPr="00503CE7">
        <w:rPr>
          <w:rFonts w:ascii="Book Antiqua" w:eastAsia="Book Antiqua" w:hAnsi="Book Antiqua"/>
          <w:color w:val="000000"/>
          <w:sz w:val="20"/>
          <w:szCs w:val="20"/>
          <w:lang w:val="en-GB"/>
        </w:rPr>
        <w:t xml:space="preserve"> the identified person </w:t>
      </w:r>
      <w:r w:rsidR="00BC66CE">
        <w:rPr>
          <w:rFonts w:ascii="Book Antiqua" w:eastAsia="Book Antiqua" w:hAnsi="Book Antiqua"/>
          <w:color w:val="000000"/>
          <w:sz w:val="20"/>
          <w:szCs w:val="20"/>
          <w:lang w:val="en-GB"/>
        </w:rPr>
        <w:t xml:space="preserve">is expected to </w:t>
      </w:r>
      <w:r w:rsidR="00BC66CE" w:rsidRPr="00503CE7">
        <w:rPr>
          <w:rFonts w:ascii="Book Antiqua" w:eastAsia="Book Antiqua" w:hAnsi="Book Antiqua"/>
          <w:color w:val="000000"/>
          <w:sz w:val="20"/>
          <w:szCs w:val="20"/>
          <w:lang w:val="en-GB"/>
        </w:rPr>
        <w:t>be the trustee of the securitisation</w:t>
      </w:r>
      <w:r w:rsidRPr="00E762AD">
        <w:rPr>
          <w:rFonts w:ascii="Book Antiqua" w:eastAsia="Book Antiqua" w:hAnsi="Book Antiqua"/>
          <w:color w:val="000000"/>
          <w:sz w:val="20"/>
          <w:szCs w:val="20"/>
          <w:lang w:val="en-GB"/>
        </w:rPr>
        <w:t xml:space="preserve">. </w:t>
      </w:r>
    </w:p>
    <w:p w:rsidR="00BC66CE" w:rsidRPr="00503CE7" w:rsidRDefault="003E6B48" w:rsidP="00BC66CE">
      <w:pPr>
        <w:spacing w:after="200" w:line="288" w:lineRule="auto"/>
        <w:jc w:val="both"/>
        <w:textAlignment w:val="baseline"/>
        <w:rPr>
          <w:rFonts w:ascii="Book Antiqua" w:eastAsia="Book Antiqua" w:hAnsi="Book Antiqua"/>
          <w:color w:val="000000"/>
          <w:sz w:val="20"/>
          <w:szCs w:val="20"/>
          <w:lang w:val="en-GB"/>
        </w:rPr>
      </w:pPr>
      <w:r w:rsidRPr="00E762AD">
        <w:rPr>
          <w:rFonts w:ascii="Book Antiqua" w:eastAsia="Book Antiqua" w:hAnsi="Book Antiqua"/>
          <w:color w:val="000000"/>
          <w:sz w:val="20"/>
          <w:szCs w:val="20"/>
          <w:lang w:val="en-GB"/>
        </w:rPr>
        <w:t>In our experience</w:t>
      </w:r>
      <w:r w:rsidR="00962A4C">
        <w:rPr>
          <w:rFonts w:ascii="Book Antiqua" w:eastAsia="Book Antiqua" w:hAnsi="Book Antiqua"/>
          <w:color w:val="000000"/>
          <w:sz w:val="20"/>
          <w:szCs w:val="20"/>
          <w:lang w:val="en-GB"/>
        </w:rPr>
        <w:t>,</w:t>
      </w:r>
      <w:r w:rsidRPr="00E762AD">
        <w:rPr>
          <w:rFonts w:ascii="Book Antiqua" w:eastAsia="Book Antiqua" w:hAnsi="Book Antiqua"/>
          <w:color w:val="000000"/>
          <w:sz w:val="20"/>
          <w:szCs w:val="20"/>
          <w:lang w:val="en-GB"/>
        </w:rPr>
        <w:t xml:space="preserve"> it is not possible to be sure that the identified person will always be willing to assume such </w:t>
      </w:r>
      <w:r w:rsidR="00B77CB9">
        <w:rPr>
          <w:rFonts w:ascii="Book Antiqua" w:eastAsia="Book Antiqua" w:hAnsi="Book Antiqua"/>
          <w:color w:val="000000"/>
          <w:sz w:val="20"/>
          <w:szCs w:val="20"/>
          <w:lang w:val="en-GB"/>
        </w:rPr>
        <w:t>a</w:t>
      </w:r>
      <w:r w:rsidR="004D6802">
        <w:rPr>
          <w:rFonts w:ascii="Book Antiqua" w:eastAsia="Book Antiqua" w:hAnsi="Book Antiqua"/>
          <w:color w:val="000000"/>
          <w:sz w:val="20"/>
          <w:szCs w:val="20"/>
          <w:lang w:val="en-GB"/>
        </w:rPr>
        <w:t>n almost arbitrary</w:t>
      </w:r>
      <w:r w:rsidR="00B77CB9">
        <w:rPr>
          <w:rFonts w:ascii="Book Antiqua" w:eastAsia="Book Antiqua" w:hAnsi="Book Antiqua"/>
          <w:color w:val="000000"/>
          <w:sz w:val="20"/>
          <w:szCs w:val="20"/>
          <w:lang w:val="en-GB"/>
        </w:rPr>
        <w:t xml:space="preserve"> </w:t>
      </w:r>
      <w:r w:rsidRPr="00E762AD">
        <w:rPr>
          <w:rFonts w:ascii="Book Antiqua" w:eastAsia="Book Antiqua" w:hAnsi="Book Antiqua"/>
          <w:color w:val="000000"/>
          <w:sz w:val="20"/>
          <w:szCs w:val="20"/>
          <w:lang w:val="en-GB"/>
        </w:rPr>
        <w:t>role to such an extent</w:t>
      </w:r>
      <w:r w:rsidR="004D6802">
        <w:rPr>
          <w:rFonts w:ascii="Book Antiqua" w:eastAsia="Book Antiqua" w:hAnsi="Book Antiqua"/>
          <w:color w:val="000000"/>
          <w:sz w:val="20"/>
          <w:szCs w:val="20"/>
          <w:lang w:val="en-GB"/>
        </w:rPr>
        <w:t>.</w:t>
      </w:r>
      <w:r w:rsidR="00BC66CE" w:rsidRPr="00BC66CE">
        <w:rPr>
          <w:rFonts w:ascii="Book Antiqua" w:eastAsia="Book Antiqua" w:hAnsi="Book Antiqua"/>
          <w:color w:val="000000"/>
          <w:sz w:val="20"/>
          <w:szCs w:val="20"/>
          <w:lang w:val="en-GB"/>
        </w:rPr>
        <w:t xml:space="preserve"> </w:t>
      </w:r>
      <w:r w:rsidR="00BC66CE">
        <w:rPr>
          <w:rFonts w:ascii="Book Antiqua" w:eastAsia="Book Antiqua" w:hAnsi="Book Antiqua"/>
          <w:color w:val="000000"/>
          <w:sz w:val="20"/>
          <w:szCs w:val="20"/>
          <w:lang w:val="en-GB"/>
        </w:rPr>
        <w:t>In fact, w</w:t>
      </w:r>
      <w:r w:rsidR="00BC66CE" w:rsidRPr="00503CE7">
        <w:rPr>
          <w:rFonts w:ascii="Book Antiqua" w:eastAsia="Book Antiqua" w:hAnsi="Book Antiqua"/>
          <w:color w:val="000000"/>
          <w:sz w:val="20"/>
          <w:szCs w:val="20"/>
          <w:lang w:val="en-GB"/>
        </w:rPr>
        <w:t xml:space="preserve">e note that the above will require the exercise by the trustee of an arbitrary function and this function conflicts with the nature and the activities typically performed by the trustee. </w:t>
      </w:r>
    </w:p>
    <w:p w:rsidR="00503CE7" w:rsidRPr="00503CE7" w:rsidRDefault="00BC66CE" w:rsidP="00503CE7">
      <w:pPr>
        <w:spacing w:after="200" w:line="288" w:lineRule="auto"/>
        <w:jc w:val="both"/>
        <w:textAlignment w:val="baseline"/>
        <w:rPr>
          <w:rFonts w:ascii="Book Antiqua" w:eastAsia="Book Antiqua" w:hAnsi="Book Antiqua"/>
          <w:color w:val="000000"/>
          <w:sz w:val="20"/>
          <w:szCs w:val="20"/>
          <w:lang w:val="en-GB"/>
        </w:rPr>
      </w:pPr>
      <w:r>
        <w:rPr>
          <w:rFonts w:ascii="Book Antiqua" w:eastAsia="Book Antiqua" w:hAnsi="Book Antiqua"/>
          <w:color w:val="000000"/>
          <w:sz w:val="20"/>
          <w:szCs w:val="20"/>
          <w:lang w:val="en-GB"/>
        </w:rPr>
        <w:t>Actually, in the conflict situation described in the criterion</w:t>
      </w:r>
      <w:r w:rsidR="00503CE7" w:rsidRPr="00503CE7">
        <w:rPr>
          <w:rFonts w:ascii="Book Antiqua" w:eastAsia="Book Antiqua" w:hAnsi="Book Antiqua"/>
          <w:color w:val="000000"/>
          <w:sz w:val="20"/>
          <w:szCs w:val="20"/>
          <w:lang w:val="en-GB"/>
        </w:rPr>
        <w:t xml:space="preserve">, </w:t>
      </w:r>
      <w:r w:rsidR="00B77CB9">
        <w:rPr>
          <w:rFonts w:ascii="Book Antiqua" w:eastAsia="Book Antiqua" w:hAnsi="Book Antiqua"/>
          <w:color w:val="000000"/>
          <w:sz w:val="20"/>
          <w:szCs w:val="20"/>
          <w:lang w:val="en-GB"/>
        </w:rPr>
        <w:t>any</w:t>
      </w:r>
      <w:r w:rsidR="00503CE7" w:rsidRPr="00503CE7">
        <w:rPr>
          <w:rFonts w:ascii="Book Antiqua" w:eastAsia="Book Antiqua" w:hAnsi="Book Antiqua"/>
          <w:color w:val="000000"/>
          <w:sz w:val="20"/>
          <w:szCs w:val="20"/>
          <w:lang w:val="en-GB"/>
        </w:rPr>
        <w:t xml:space="preserve"> trustee’s determination on the matter will </w:t>
      </w:r>
      <w:r>
        <w:rPr>
          <w:rFonts w:ascii="Book Antiqua" w:eastAsia="Book Antiqua" w:hAnsi="Book Antiqua"/>
          <w:color w:val="000000"/>
          <w:sz w:val="20"/>
          <w:szCs w:val="20"/>
          <w:lang w:val="en-GB"/>
        </w:rPr>
        <w:t xml:space="preserve">indeed </w:t>
      </w:r>
      <w:r w:rsidR="00503CE7" w:rsidRPr="00503CE7">
        <w:rPr>
          <w:rFonts w:ascii="Book Antiqua" w:eastAsia="Book Antiqua" w:hAnsi="Book Antiqua"/>
          <w:color w:val="000000"/>
          <w:sz w:val="20"/>
          <w:szCs w:val="20"/>
          <w:lang w:val="en-GB"/>
        </w:rPr>
        <w:t>prejudice the interest of certain class or classes of noteholders</w:t>
      </w:r>
      <w:r>
        <w:rPr>
          <w:rFonts w:ascii="Book Antiqua" w:eastAsia="Book Antiqua" w:hAnsi="Book Antiqua"/>
          <w:color w:val="000000"/>
          <w:sz w:val="20"/>
          <w:szCs w:val="20"/>
          <w:lang w:val="en-GB"/>
        </w:rPr>
        <w:t>:</w:t>
      </w:r>
      <w:r w:rsidR="00503CE7" w:rsidRPr="00503CE7">
        <w:rPr>
          <w:rFonts w:ascii="Book Antiqua" w:eastAsia="Book Antiqua" w:hAnsi="Book Antiqua"/>
          <w:color w:val="000000"/>
          <w:sz w:val="20"/>
          <w:szCs w:val="20"/>
          <w:lang w:val="en-GB"/>
        </w:rPr>
        <w:t xml:space="preserve"> as a consequence</w:t>
      </w:r>
      <w:r>
        <w:rPr>
          <w:rFonts w:ascii="Book Antiqua" w:eastAsia="Book Antiqua" w:hAnsi="Book Antiqua"/>
          <w:color w:val="000000"/>
          <w:sz w:val="20"/>
          <w:szCs w:val="20"/>
          <w:lang w:val="en-GB"/>
        </w:rPr>
        <w:t>,</w:t>
      </w:r>
      <w:r w:rsidR="00503CE7" w:rsidRPr="00503CE7">
        <w:rPr>
          <w:rFonts w:ascii="Book Antiqua" w:eastAsia="Book Antiqua" w:hAnsi="Book Antiqua"/>
          <w:color w:val="000000"/>
          <w:sz w:val="20"/>
          <w:szCs w:val="20"/>
          <w:lang w:val="en-GB"/>
        </w:rPr>
        <w:t xml:space="preserve"> </w:t>
      </w:r>
      <w:r>
        <w:rPr>
          <w:rFonts w:ascii="Book Antiqua" w:eastAsia="Book Antiqua" w:hAnsi="Book Antiqua"/>
          <w:color w:val="000000"/>
          <w:sz w:val="20"/>
          <w:szCs w:val="20"/>
          <w:lang w:val="en-GB"/>
        </w:rPr>
        <w:t xml:space="preserve">often </w:t>
      </w:r>
      <w:r w:rsidR="00503CE7" w:rsidRPr="00503CE7">
        <w:rPr>
          <w:rFonts w:ascii="Book Antiqua" w:eastAsia="Book Antiqua" w:hAnsi="Book Antiqua"/>
          <w:color w:val="000000"/>
          <w:sz w:val="20"/>
          <w:szCs w:val="20"/>
          <w:lang w:val="en-GB"/>
        </w:rPr>
        <w:t xml:space="preserve">such determination may not be taken by the trustee without the consent </w:t>
      </w:r>
      <w:r w:rsidR="00B77CB9">
        <w:rPr>
          <w:rFonts w:ascii="Book Antiqua" w:eastAsia="Book Antiqua" w:hAnsi="Book Antiqua"/>
          <w:color w:val="000000"/>
          <w:sz w:val="20"/>
          <w:szCs w:val="20"/>
          <w:lang w:val="en-GB"/>
        </w:rPr>
        <w:t>of</w:t>
      </w:r>
      <w:r w:rsidR="00503CE7" w:rsidRPr="00503CE7">
        <w:rPr>
          <w:rFonts w:ascii="Book Antiqua" w:eastAsia="Book Antiqua" w:hAnsi="Book Antiqua"/>
          <w:color w:val="000000"/>
          <w:sz w:val="20"/>
          <w:szCs w:val="20"/>
          <w:lang w:val="en-GB"/>
        </w:rPr>
        <w:t xml:space="preserve"> the relative class or classes of noteholders.</w:t>
      </w:r>
    </w:p>
    <w:p w:rsidR="00BC66CE" w:rsidRDefault="00503CE7" w:rsidP="00BC66CE">
      <w:pPr>
        <w:spacing w:after="200" w:line="288" w:lineRule="auto"/>
        <w:jc w:val="both"/>
        <w:textAlignment w:val="baseline"/>
        <w:rPr>
          <w:rFonts w:ascii="Book Antiqua" w:eastAsia="Book Antiqua" w:hAnsi="Book Antiqua"/>
          <w:color w:val="000000"/>
          <w:sz w:val="20"/>
          <w:szCs w:val="20"/>
          <w:lang w:val="en-GB"/>
        </w:rPr>
      </w:pPr>
      <w:r w:rsidRPr="00503CE7">
        <w:rPr>
          <w:rFonts w:ascii="Book Antiqua" w:eastAsia="Book Antiqua" w:hAnsi="Book Antiqua"/>
          <w:color w:val="000000"/>
          <w:sz w:val="20"/>
          <w:szCs w:val="20"/>
          <w:lang w:val="en-GB"/>
        </w:rPr>
        <w:t xml:space="preserve">We suggest to remove the reference to the identified person. To facilitate the resolution of the conflict </w:t>
      </w:r>
      <w:r w:rsidR="00B77CB9">
        <w:rPr>
          <w:rFonts w:ascii="Book Antiqua" w:eastAsia="Book Antiqua" w:hAnsi="Book Antiqua"/>
          <w:color w:val="000000"/>
          <w:sz w:val="20"/>
          <w:szCs w:val="20"/>
          <w:lang w:val="en-GB"/>
        </w:rPr>
        <w:t>under consideration</w:t>
      </w:r>
      <w:r w:rsidRPr="00503CE7">
        <w:rPr>
          <w:rFonts w:ascii="Book Antiqua" w:eastAsia="Book Antiqua" w:hAnsi="Book Antiqua"/>
          <w:color w:val="000000"/>
          <w:sz w:val="20"/>
          <w:szCs w:val="20"/>
          <w:lang w:val="en-GB"/>
        </w:rPr>
        <w:t xml:space="preserve">, </w:t>
      </w:r>
      <w:r w:rsidR="00BC66CE">
        <w:rPr>
          <w:rFonts w:ascii="Book Antiqua" w:eastAsia="Book Antiqua" w:hAnsi="Book Antiqua"/>
          <w:color w:val="000000"/>
          <w:sz w:val="20"/>
          <w:szCs w:val="20"/>
          <w:lang w:val="en-GB"/>
        </w:rPr>
        <w:t xml:space="preserve">the proposal is </w:t>
      </w:r>
      <w:r w:rsidRPr="00503CE7">
        <w:rPr>
          <w:rFonts w:ascii="Book Antiqua" w:eastAsia="Book Antiqua" w:hAnsi="Book Antiqua"/>
          <w:color w:val="000000"/>
          <w:sz w:val="20"/>
          <w:szCs w:val="20"/>
          <w:lang w:val="en-GB"/>
        </w:rPr>
        <w:t xml:space="preserve">to </w:t>
      </w:r>
      <w:r w:rsidR="00BC66CE">
        <w:rPr>
          <w:rFonts w:ascii="Book Antiqua" w:eastAsia="Book Antiqua" w:hAnsi="Book Antiqua"/>
          <w:color w:val="000000"/>
          <w:sz w:val="20"/>
          <w:szCs w:val="20"/>
          <w:lang w:val="en-GB"/>
        </w:rPr>
        <w:t>have</w:t>
      </w:r>
      <w:r w:rsidRPr="00503CE7">
        <w:rPr>
          <w:rFonts w:ascii="Book Antiqua" w:eastAsia="Book Antiqua" w:hAnsi="Book Antiqua"/>
          <w:color w:val="000000"/>
          <w:sz w:val="20"/>
          <w:szCs w:val="20"/>
          <w:lang w:val="en-GB"/>
        </w:rPr>
        <w:t xml:space="preserve"> the transaction documentation providing clear rules </w:t>
      </w:r>
      <w:r w:rsidR="00FF3D14">
        <w:rPr>
          <w:rFonts w:ascii="Book Antiqua" w:eastAsia="Book Antiqua" w:hAnsi="Book Antiqua"/>
          <w:color w:val="000000"/>
          <w:sz w:val="20"/>
          <w:szCs w:val="20"/>
          <w:lang w:val="en-GB"/>
        </w:rPr>
        <w:t>on</w:t>
      </w:r>
      <w:r w:rsidRPr="00503CE7">
        <w:rPr>
          <w:rFonts w:ascii="Book Antiqua" w:eastAsia="Book Antiqua" w:hAnsi="Book Antiqua"/>
          <w:color w:val="000000"/>
          <w:sz w:val="20"/>
          <w:szCs w:val="20"/>
          <w:lang w:val="en-GB"/>
        </w:rPr>
        <w:t xml:space="preserve"> how the above mentioned conflict of interest</w:t>
      </w:r>
      <w:r w:rsidR="00962A4C">
        <w:rPr>
          <w:rFonts w:ascii="Book Antiqua" w:eastAsia="Book Antiqua" w:hAnsi="Book Antiqua"/>
          <w:color w:val="000000"/>
          <w:sz w:val="20"/>
          <w:szCs w:val="20"/>
          <w:lang w:val="en-GB"/>
        </w:rPr>
        <w:t>s</w:t>
      </w:r>
      <w:r w:rsidRPr="00503CE7">
        <w:rPr>
          <w:rFonts w:ascii="Book Antiqua" w:eastAsia="Book Antiqua" w:hAnsi="Book Antiqua"/>
          <w:color w:val="000000"/>
          <w:sz w:val="20"/>
          <w:szCs w:val="20"/>
          <w:lang w:val="en-GB"/>
        </w:rPr>
        <w:t xml:space="preserve"> shall be resolve</w:t>
      </w:r>
      <w:r w:rsidR="00BC66CE">
        <w:rPr>
          <w:rFonts w:ascii="Book Antiqua" w:eastAsia="Book Antiqua" w:hAnsi="Book Antiqua"/>
          <w:color w:val="000000"/>
          <w:sz w:val="20"/>
          <w:szCs w:val="20"/>
          <w:lang w:val="en-GB"/>
        </w:rPr>
        <w:t>d</w:t>
      </w:r>
      <w:r w:rsidRPr="00503CE7">
        <w:rPr>
          <w:rFonts w:ascii="Book Antiqua" w:eastAsia="Book Antiqua" w:hAnsi="Book Antiqua"/>
          <w:color w:val="000000"/>
          <w:sz w:val="20"/>
          <w:szCs w:val="20"/>
          <w:lang w:val="en-GB"/>
        </w:rPr>
        <w:t xml:space="preserve">, </w:t>
      </w:r>
      <w:r w:rsidR="00BC66CE">
        <w:rPr>
          <w:rFonts w:ascii="Book Antiqua" w:eastAsia="Book Antiqua" w:hAnsi="Book Antiqua"/>
          <w:color w:val="000000"/>
          <w:sz w:val="20"/>
          <w:szCs w:val="20"/>
          <w:lang w:val="en-GB"/>
        </w:rPr>
        <w:t xml:space="preserve">limiting as much as possible (ideally </w:t>
      </w:r>
      <w:r w:rsidR="005A652D">
        <w:rPr>
          <w:rFonts w:ascii="Book Antiqua" w:eastAsia="Book Antiqua" w:hAnsi="Book Antiqua"/>
          <w:color w:val="000000"/>
          <w:sz w:val="20"/>
          <w:szCs w:val="20"/>
          <w:lang w:val="en-GB"/>
        </w:rPr>
        <w:t>entirely</w:t>
      </w:r>
      <w:r w:rsidR="00BC66CE">
        <w:rPr>
          <w:rFonts w:ascii="Book Antiqua" w:eastAsia="Book Antiqua" w:hAnsi="Book Antiqua"/>
          <w:color w:val="000000"/>
          <w:sz w:val="20"/>
          <w:szCs w:val="20"/>
          <w:lang w:val="en-GB"/>
        </w:rPr>
        <w:t xml:space="preserve">) </w:t>
      </w:r>
      <w:r w:rsidRPr="00503CE7">
        <w:rPr>
          <w:rFonts w:ascii="Book Antiqua" w:eastAsia="Book Antiqua" w:hAnsi="Book Antiqua"/>
          <w:color w:val="000000"/>
          <w:sz w:val="20"/>
          <w:szCs w:val="20"/>
          <w:lang w:val="en-GB"/>
        </w:rPr>
        <w:t xml:space="preserve">any discretion or arbitration by </w:t>
      </w:r>
      <w:r w:rsidR="00BC66CE">
        <w:rPr>
          <w:rFonts w:ascii="Book Antiqua" w:eastAsia="Book Antiqua" w:hAnsi="Book Antiqua"/>
          <w:color w:val="000000"/>
          <w:sz w:val="20"/>
          <w:szCs w:val="20"/>
          <w:lang w:val="en-GB"/>
        </w:rPr>
        <w:t xml:space="preserve">the relevant </w:t>
      </w:r>
      <w:r w:rsidRPr="00503CE7">
        <w:rPr>
          <w:rFonts w:ascii="Book Antiqua" w:eastAsia="Book Antiqua" w:hAnsi="Book Antiqua"/>
          <w:color w:val="000000"/>
          <w:sz w:val="20"/>
          <w:szCs w:val="20"/>
          <w:lang w:val="en-GB"/>
        </w:rPr>
        <w:t>identified person</w:t>
      </w:r>
      <w:r w:rsidR="00BC66CE">
        <w:rPr>
          <w:rFonts w:ascii="Book Antiqua" w:eastAsia="Book Antiqua" w:hAnsi="Book Antiqua"/>
          <w:color w:val="000000"/>
          <w:sz w:val="20"/>
          <w:szCs w:val="20"/>
          <w:lang w:val="en-GB"/>
        </w:rPr>
        <w:t xml:space="preserve">, </w:t>
      </w:r>
      <w:r w:rsidR="00852751">
        <w:rPr>
          <w:rFonts w:ascii="Book Antiqua" w:eastAsia="Book Antiqua" w:hAnsi="Book Antiqua"/>
          <w:color w:val="000000"/>
          <w:sz w:val="20"/>
          <w:szCs w:val="20"/>
          <w:lang w:val="en-GB"/>
        </w:rPr>
        <w:t xml:space="preserve">but also </w:t>
      </w:r>
      <w:r w:rsidR="00BC66CE">
        <w:rPr>
          <w:rFonts w:ascii="Book Antiqua" w:eastAsia="Book Antiqua" w:hAnsi="Book Antiqua"/>
          <w:color w:val="000000"/>
          <w:sz w:val="20"/>
          <w:szCs w:val="20"/>
          <w:lang w:val="en-GB"/>
        </w:rPr>
        <w:t xml:space="preserve">bearing in mind that a complete </w:t>
      </w:r>
      <w:r w:rsidR="00BC66CE" w:rsidRPr="00503CE7">
        <w:rPr>
          <w:rFonts w:ascii="Book Antiqua" w:eastAsia="Book Antiqua" w:hAnsi="Book Antiqua"/>
          <w:color w:val="000000"/>
          <w:sz w:val="20"/>
          <w:szCs w:val="20"/>
          <w:lang w:val="en-GB"/>
        </w:rPr>
        <w:t>sterili</w:t>
      </w:r>
      <w:r w:rsidR="00BC66CE">
        <w:rPr>
          <w:rFonts w:ascii="Book Antiqua" w:eastAsia="Book Antiqua" w:hAnsi="Book Antiqua"/>
          <w:color w:val="000000"/>
          <w:sz w:val="20"/>
          <w:szCs w:val="20"/>
          <w:lang w:val="en-GB"/>
        </w:rPr>
        <w:t>s</w:t>
      </w:r>
      <w:r w:rsidR="00BC66CE" w:rsidRPr="00503CE7">
        <w:rPr>
          <w:rFonts w:ascii="Book Antiqua" w:eastAsia="Book Antiqua" w:hAnsi="Book Antiqua"/>
          <w:color w:val="000000"/>
          <w:sz w:val="20"/>
          <w:szCs w:val="20"/>
          <w:lang w:val="en-GB"/>
        </w:rPr>
        <w:t xml:space="preserve">ation of the voting rights of the </w:t>
      </w:r>
      <w:r w:rsidR="00BC66CE">
        <w:rPr>
          <w:rFonts w:ascii="Book Antiqua" w:eastAsia="Book Antiqua" w:hAnsi="Book Antiqua"/>
          <w:color w:val="000000"/>
          <w:sz w:val="20"/>
          <w:szCs w:val="20"/>
          <w:lang w:val="en-GB"/>
        </w:rPr>
        <w:t xml:space="preserve">most </w:t>
      </w:r>
      <w:r w:rsidR="00BC66CE" w:rsidRPr="00503CE7">
        <w:rPr>
          <w:rFonts w:ascii="Book Antiqua" w:eastAsia="Book Antiqua" w:hAnsi="Book Antiqua"/>
          <w:color w:val="000000"/>
          <w:sz w:val="20"/>
          <w:szCs w:val="20"/>
          <w:lang w:val="en-GB"/>
        </w:rPr>
        <w:t xml:space="preserve">junior </w:t>
      </w:r>
      <w:r w:rsidR="00BC66CE">
        <w:rPr>
          <w:rFonts w:ascii="Book Antiqua" w:eastAsia="Book Antiqua" w:hAnsi="Book Antiqua"/>
          <w:color w:val="000000"/>
          <w:sz w:val="20"/>
          <w:szCs w:val="20"/>
          <w:lang w:val="en-GB"/>
        </w:rPr>
        <w:t xml:space="preserve">classes of </w:t>
      </w:r>
      <w:r w:rsidR="00BC66CE" w:rsidRPr="00503CE7">
        <w:rPr>
          <w:rFonts w:ascii="Book Antiqua" w:eastAsia="Book Antiqua" w:hAnsi="Book Antiqua"/>
          <w:color w:val="000000"/>
          <w:sz w:val="20"/>
          <w:szCs w:val="20"/>
          <w:lang w:val="en-GB"/>
        </w:rPr>
        <w:t>noteholders should be avoid</w:t>
      </w:r>
      <w:r w:rsidR="00BC66CE">
        <w:rPr>
          <w:rFonts w:ascii="Book Antiqua" w:eastAsia="Book Antiqua" w:hAnsi="Book Antiqua"/>
          <w:color w:val="000000"/>
          <w:sz w:val="20"/>
          <w:szCs w:val="20"/>
          <w:lang w:val="en-GB"/>
        </w:rPr>
        <w:t>ed</w:t>
      </w:r>
      <w:r w:rsidR="00852751">
        <w:rPr>
          <w:rFonts w:ascii="Book Antiqua" w:eastAsia="Book Antiqua" w:hAnsi="Book Antiqua"/>
          <w:color w:val="000000"/>
          <w:sz w:val="20"/>
          <w:szCs w:val="20"/>
          <w:lang w:val="en-GB"/>
        </w:rPr>
        <w:t>,</w:t>
      </w:r>
      <w:r w:rsidR="00BC66CE" w:rsidRPr="00503CE7">
        <w:rPr>
          <w:rFonts w:ascii="Book Antiqua" w:eastAsia="Book Antiqua" w:hAnsi="Book Antiqua"/>
          <w:color w:val="000000"/>
          <w:sz w:val="20"/>
          <w:szCs w:val="20"/>
          <w:lang w:val="en-GB"/>
        </w:rPr>
        <w:t xml:space="preserve"> as it </w:t>
      </w:r>
      <w:r w:rsidR="00852751">
        <w:rPr>
          <w:rFonts w:ascii="Book Antiqua" w:eastAsia="Book Antiqua" w:hAnsi="Book Antiqua"/>
          <w:color w:val="000000"/>
          <w:sz w:val="20"/>
          <w:szCs w:val="20"/>
          <w:lang w:val="en-GB"/>
        </w:rPr>
        <w:t xml:space="preserve">could discourage </w:t>
      </w:r>
      <w:r w:rsidR="00BC66CE" w:rsidRPr="00503CE7">
        <w:rPr>
          <w:rFonts w:ascii="Book Antiqua" w:eastAsia="Book Antiqua" w:hAnsi="Book Antiqua"/>
          <w:color w:val="000000"/>
          <w:sz w:val="20"/>
          <w:szCs w:val="20"/>
          <w:lang w:val="en-GB"/>
        </w:rPr>
        <w:t>investors in non-senior tranches.</w:t>
      </w:r>
    </w:p>
    <w:p w:rsidR="00503CE7" w:rsidRPr="00503CE7" w:rsidRDefault="00503CE7" w:rsidP="00503CE7">
      <w:pPr>
        <w:spacing w:after="200" w:line="288" w:lineRule="auto"/>
        <w:jc w:val="both"/>
        <w:textAlignment w:val="baseline"/>
        <w:rPr>
          <w:rFonts w:ascii="Book Antiqua" w:eastAsia="Book Antiqua" w:hAnsi="Book Antiqua"/>
          <w:color w:val="000000"/>
          <w:sz w:val="20"/>
          <w:szCs w:val="20"/>
          <w:lang w:val="en-GB"/>
        </w:rPr>
      </w:pPr>
      <w:r w:rsidRPr="00503CE7">
        <w:rPr>
          <w:rFonts w:ascii="Book Antiqua" w:eastAsia="Book Antiqua" w:hAnsi="Book Antiqua"/>
          <w:color w:val="000000"/>
          <w:sz w:val="20"/>
          <w:szCs w:val="20"/>
          <w:lang w:val="en-GB"/>
        </w:rPr>
        <w:t>In addition “to making more effective the decision-making process”</w:t>
      </w:r>
      <w:r w:rsidR="00FF3D14">
        <w:rPr>
          <w:rFonts w:ascii="Book Antiqua" w:eastAsia="Book Antiqua" w:hAnsi="Book Antiqua"/>
          <w:color w:val="000000"/>
          <w:sz w:val="20"/>
          <w:szCs w:val="20"/>
          <w:lang w:val="en-GB"/>
        </w:rPr>
        <w:t>,</w:t>
      </w:r>
      <w:r w:rsidRPr="00503CE7">
        <w:rPr>
          <w:rFonts w:ascii="Book Antiqua" w:eastAsia="Book Antiqua" w:hAnsi="Book Antiqua"/>
          <w:color w:val="000000"/>
          <w:sz w:val="20"/>
          <w:szCs w:val="20"/>
          <w:lang w:val="en-GB"/>
        </w:rPr>
        <w:t xml:space="preserve"> the transaction documentation </w:t>
      </w:r>
      <w:r w:rsidR="00852751">
        <w:rPr>
          <w:rFonts w:ascii="Book Antiqua" w:eastAsia="Book Antiqua" w:hAnsi="Book Antiqua"/>
          <w:color w:val="000000"/>
          <w:sz w:val="20"/>
          <w:szCs w:val="20"/>
          <w:lang w:val="en-GB"/>
        </w:rPr>
        <w:t>sho</w:t>
      </w:r>
      <w:r w:rsidRPr="00503CE7">
        <w:rPr>
          <w:rFonts w:ascii="Book Antiqua" w:eastAsia="Book Antiqua" w:hAnsi="Book Antiqua"/>
          <w:color w:val="000000"/>
          <w:sz w:val="20"/>
          <w:szCs w:val="20"/>
          <w:lang w:val="en-GB"/>
        </w:rPr>
        <w:t xml:space="preserve">uld be improved </w:t>
      </w:r>
      <w:r w:rsidR="00852751">
        <w:rPr>
          <w:rFonts w:ascii="Book Antiqua" w:eastAsia="Book Antiqua" w:hAnsi="Book Antiqua"/>
          <w:color w:val="000000"/>
          <w:sz w:val="20"/>
          <w:szCs w:val="20"/>
          <w:lang w:val="en-GB"/>
        </w:rPr>
        <w:t xml:space="preserve">to </w:t>
      </w:r>
      <w:r w:rsidRPr="00503CE7">
        <w:rPr>
          <w:rFonts w:ascii="Book Antiqua" w:eastAsia="Book Antiqua" w:hAnsi="Book Antiqua"/>
          <w:color w:val="000000"/>
          <w:sz w:val="20"/>
          <w:szCs w:val="20"/>
          <w:lang w:val="en-GB"/>
        </w:rPr>
        <w:t>facilitat</w:t>
      </w:r>
      <w:r w:rsidR="00852751">
        <w:rPr>
          <w:rFonts w:ascii="Book Antiqua" w:eastAsia="Book Antiqua" w:hAnsi="Book Antiqua"/>
          <w:color w:val="000000"/>
          <w:sz w:val="20"/>
          <w:szCs w:val="20"/>
          <w:lang w:val="en-GB"/>
        </w:rPr>
        <w:t>e</w:t>
      </w:r>
      <w:r w:rsidRPr="00503CE7">
        <w:rPr>
          <w:rFonts w:ascii="Book Antiqua" w:eastAsia="Book Antiqua" w:hAnsi="Book Antiqua"/>
          <w:color w:val="000000"/>
          <w:sz w:val="20"/>
          <w:szCs w:val="20"/>
          <w:lang w:val="en-GB"/>
        </w:rPr>
        <w:t xml:space="preserve"> the </w:t>
      </w:r>
      <w:r w:rsidR="00852751">
        <w:rPr>
          <w:rFonts w:ascii="Book Antiqua" w:eastAsia="Book Antiqua" w:hAnsi="Book Antiqua"/>
          <w:color w:val="000000"/>
          <w:sz w:val="20"/>
          <w:szCs w:val="20"/>
          <w:lang w:val="en-GB"/>
        </w:rPr>
        <w:t xml:space="preserve">procedures </w:t>
      </w:r>
      <w:r w:rsidR="00FF3D14">
        <w:rPr>
          <w:rFonts w:ascii="Book Antiqua" w:eastAsia="Book Antiqua" w:hAnsi="Book Antiqua"/>
          <w:color w:val="000000"/>
          <w:sz w:val="20"/>
          <w:szCs w:val="20"/>
          <w:lang w:val="en-GB"/>
        </w:rPr>
        <w:t xml:space="preserve">required </w:t>
      </w:r>
      <w:r w:rsidR="00852751">
        <w:rPr>
          <w:rFonts w:ascii="Book Antiqua" w:eastAsia="Book Antiqua" w:hAnsi="Book Antiqua"/>
          <w:color w:val="000000"/>
          <w:sz w:val="20"/>
          <w:szCs w:val="20"/>
          <w:lang w:val="en-GB"/>
        </w:rPr>
        <w:t xml:space="preserve">(both in terms of timing, means (e.g. videoconference) of participation, etc.) for </w:t>
      </w:r>
      <w:r w:rsidRPr="00503CE7">
        <w:rPr>
          <w:rFonts w:ascii="Book Antiqua" w:eastAsia="Book Antiqua" w:hAnsi="Book Antiqua"/>
          <w:color w:val="000000"/>
          <w:sz w:val="20"/>
          <w:szCs w:val="20"/>
          <w:lang w:val="en-GB"/>
        </w:rPr>
        <w:t>noteholde</w:t>
      </w:r>
      <w:r w:rsidR="00852751">
        <w:rPr>
          <w:rFonts w:ascii="Book Antiqua" w:eastAsia="Book Antiqua" w:hAnsi="Book Antiqua"/>
          <w:color w:val="000000"/>
          <w:sz w:val="20"/>
          <w:szCs w:val="20"/>
          <w:lang w:val="en-GB"/>
        </w:rPr>
        <w:t>r</w:t>
      </w:r>
      <w:r w:rsidRPr="00503CE7">
        <w:rPr>
          <w:rFonts w:ascii="Book Antiqua" w:eastAsia="Book Antiqua" w:hAnsi="Book Antiqua"/>
          <w:color w:val="000000"/>
          <w:sz w:val="20"/>
          <w:szCs w:val="20"/>
          <w:lang w:val="en-GB"/>
        </w:rPr>
        <w:t>s</w:t>
      </w:r>
      <w:r w:rsidR="00852751">
        <w:rPr>
          <w:rFonts w:ascii="Book Antiqua" w:eastAsia="Book Antiqua" w:hAnsi="Book Antiqua"/>
          <w:color w:val="000000"/>
          <w:sz w:val="20"/>
          <w:szCs w:val="20"/>
          <w:lang w:val="en-GB"/>
        </w:rPr>
        <w:t>’</w:t>
      </w:r>
      <w:r w:rsidRPr="00503CE7">
        <w:rPr>
          <w:rFonts w:ascii="Book Antiqua" w:eastAsia="Book Antiqua" w:hAnsi="Book Antiqua"/>
          <w:color w:val="000000"/>
          <w:sz w:val="20"/>
          <w:szCs w:val="20"/>
          <w:lang w:val="en-GB"/>
        </w:rPr>
        <w:t xml:space="preserve"> meeting</w:t>
      </w:r>
      <w:r w:rsidR="00852751">
        <w:rPr>
          <w:rFonts w:ascii="Book Antiqua" w:eastAsia="Book Antiqua" w:hAnsi="Book Antiqua"/>
          <w:color w:val="000000"/>
          <w:sz w:val="20"/>
          <w:szCs w:val="20"/>
          <w:lang w:val="en-GB"/>
        </w:rPr>
        <w:t>s to be held</w:t>
      </w:r>
      <w:r w:rsidRPr="00503CE7">
        <w:rPr>
          <w:rFonts w:ascii="Book Antiqua" w:eastAsia="Book Antiqua" w:hAnsi="Book Antiqua"/>
          <w:color w:val="000000"/>
          <w:sz w:val="20"/>
          <w:szCs w:val="20"/>
          <w:lang w:val="en-GB"/>
        </w:rPr>
        <w:t>.</w:t>
      </w:r>
    </w:p>
    <w:p w:rsidR="008319F2" w:rsidRPr="00852751" w:rsidRDefault="00852751" w:rsidP="00852751">
      <w:pPr>
        <w:keepNext/>
        <w:widowControl w:val="0"/>
        <w:spacing w:after="200" w:line="288" w:lineRule="auto"/>
        <w:jc w:val="both"/>
        <w:textAlignment w:val="baseline"/>
        <w:rPr>
          <w:rFonts w:ascii="Book Antiqua" w:eastAsia="Book Antiqua" w:hAnsi="Book Antiqua"/>
          <w:color w:val="000000"/>
          <w:sz w:val="20"/>
          <w:szCs w:val="20"/>
          <w:u w:val="single"/>
          <w:lang w:val="en-GB"/>
        </w:rPr>
      </w:pPr>
      <w:r w:rsidRPr="00852751">
        <w:rPr>
          <w:rFonts w:ascii="Book Antiqua" w:eastAsia="Book Antiqua" w:hAnsi="Book Antiqua"/>
          <w:color w:val="000000"/>
          <w:sz w:val="20"/>
          <w:szCs w:val="20"/>
          <w:u w:val="single"/>
          <w:lang w:val="en-GB"/>
        </w:rPr>
        <w:t>Question 5</w:t>
      </w:r>
    </w:p>
    <w:p w:rsidR="008319F2" w:rsidRPr="00E762AD" w:rsidRDefault="003E6B48" w:rsidP="00E762AD">
      <w:pPr>
        <w:spacing w:after="200" w:line="288" w:lineRule="auto"/>
        <w:jc w:val="both"/>
        <w:textAlignment w:val="baseline"/>
        <w:rPr>
          <w:rFonts w:ascii="Book Antiqua" w:eastAsia="Book Antiqua" w:hAnsi="Book Antiqua"/>
          <w:color w:val="000000"/>
          <w:sz w:val="20"/>
          <w:szCs w:val="20"/>
          <w:lang w:val="en-GB"/>
        </w:rPr>
      </w:pPr>
      <w:r w:rsidRPr="00E762AD">
        <w:rPr>
          <w:rFonts w:ascii="Book Antiqua" w:eastAsia="Book Antiqua" w:hAnsi="Book Antiqua"/>
          <w:color w:val="000000"/>
          <w:sz w:val="20"/>
          <w:szCs w:val="20"/>
          <w:lang w:val="en-GB"/>
        </w:rPr>
        <w:t xml:space="preserve">The distribution of voting rights is typically more articulated and provides for the necessity of a concurrent decisions of more junior </w:t>
      </w:r>
      <w:r w:rsidR="00962A4C">
        <w:rPr>
          <w:rFonts w:ascii="Book Antiqua" w:eastAsia="Book Antiqua" w:hAnsi="Book Antiqua"/>
          <w:color w:val="000000"/>
          <w:sz w:val="20"/>
          <w:szCs w:val="20"/>
          <w:lang w:val="en-GB"/>
        </w:rPr>
        <w:t>n</w:t>
      </w:r>
      <w:r w:rsidRPr="00E762AD">
        <w:rPr>
          <w:rFonts w:ascii="Book Antiqua" w:eastAsia="Book Antiqua" w:hAnsi="Book Antiqua"/>
          <w:color w:val="000000"/>
          <w:sz w:val="20"/>
          <w:szCs w:val="20"/>
          <w:lang w:val="en-GB"/>
        </w:rPr>
        <w:t xml:space="preserve">oteholders to the extent that their rights are affected by the decision (e.g. a change in the priority of payment). It would be preferable to make reference to the attribution of voting rights to senior noteholders in accordance and within the limits of prevailing practice in the </w:t>
      </w:r>
      <w:r w:rsidR="00FF3D14">
        <w:rPr>
          <w:rFonts w:ascii="Book Antiqua" w:eastAsia="Book Antiqua" w:hAnsi="Book Antiqua"/>
          <w:color w:val="000000"/>
          <w:sz w:val="20"/>
          <w:szCs w:val="20"/>
          <w:lang w:val="en-GB"/>
        </w:rPr>
        <w:t>domestic</w:t>
      </w:r>
      <w:r w:rsidRPr="00E762AD">
        <w:rPr>
          <w:rFonts w:ascii="Book Antiqua" w:eastAsia="Book Antiqua" w:hAnsi="Book Antiqua"/>
          <w:color w:val="000000"/>
          <w:sz w:val="20"/>
          <w:szCs w:val="20"/>
          <w:lang w:val="en-GB"/>
        </w:rPr>
        <w:t xml:space="preserve"> market.</w:t>
      </w:r>
    </w:p>
    <w:p w:rsidR="00852751" w:rsidRPr="00852751" w:rsidRDefault="00852751" w:rsidP="00852751">
      <w:pPr>
        <w:tabs>
          <w:tab w:val="left" w:pos="2694"/>
        </w:tabs>
        <w:spacing w:after="200" w:line="288" w:lineRule="auto"/>
        <w:jc w:val="both"/>
        <w:textAlignment w:val="baseline"/>
        <w:rPr>
          <w:rFonts w:ascii="Book Antiqua" w:eastAsia="Book Antiqua" w:hAnsi="Book Antiqua"/>
          <w:b/>
          <w:color w:val="000000"/>
          <w:sz w:val="20"/>
          <w:szCs w:val="20"/>
          <w:lang w:val="en-GB"/>
        </w:rPr>
      </w:pPr>
      <w:r w:rsidRPr="00852751">
        <w:rPr>
          <w:rFonts w:ascii="Book Antiqua" w:eastAsia="Book Antiqua" w:hAnsi="Book Antiqua"/>
          <w:b/>
          <w:color w:val="000000"/>
          <w:sz w:val="20"/>
          <w:szCs w:val="20"/>
          <w:lang w:val="en-GB"/>
        </w:rPr>
        <w:lastRenderedPageBreak/>
        <w:t>Pillar III: transparent securitisations</w:t>
      </w:r>
    </w:p>
    <w:p w:rsidR="008319F2" w:rsidRPr="00852751" w:rsidRDefault="00852751" w:rsidP="00852751">
      <w:pPr>
        <w:keepNext/>
        <w:widowControl w:val="0"/>
        <w:spacing w:after="200" w:line="288" w:lineRule="auto"/>
        <w:jc w:val="both"/>
        <w:textAlignment w:val="baseline"/>
        <w:rPr>
          <w:rFonts w:ascii="Book Antiqua" w:eastAsia="Book Antiqua" w:hAnsi="Book Antiqua"/>
          <w:color w:val="000000"/>
          <w:sz w:val="20"/>
          <w:szCs w:val="20"/>
          <w:u w:val="single"/>
          <w:lang w:val="en-GB"/>
        </w:rPr>
      </w:pPr>
      <w:r w:rsidRPr="00852751">
        <w:rPr>
          <w:rFonts w:ascii="Book Antiqua" w:eastAsia="Book Antiqua" w:hAnsi="Book Antiqua"/>
          <w:color w:val="000000"/>
          <w:sz w:val="20"/>
          <w:szCs w:val="20"/>
          <w:u w:val="single"/>
          <w:lang w:val="en-GB"/>
        </w:rPr>
        <w:t>General</w:t>
      </w:r>
    </w:p>
    <w:p w:rsidR="008319F2" w:rsidRPr="00E762AD" w:rsidRDefault="003E6B48" w:rsidP="00E762AD">
      <w:pPr>
        <w:spacing w:after="200" w:line="288" w:lineRule="auto"/>
        <w:jc w:val="both"/>
        <w:textAlignment w:val="baseline"/>
        <w:rPr>
          <w:rFonts w:ascii="Book Antiqua" w:eastAsia="Book Antiqua" w:hAnsi="Book Antiqua"/>
          <w:color w:val="000000"/>
          <w:sz w:val="20"/>
          <w:szCs w:val="20"/>
          <w:lang w:val="en-GB"/>
        </w:rPr>
      </w:pPr>
      <w:r w:rsidRPr="00E762AD">
        <w:rPr>
          <w:rFonts w:ascii="Book Antiqua" w:eastAsia="Book Antiqua" w:hAnsi="Book Antiqua"/>
          <w:color w:val="000000"/>
          <w:sz w:val="20"/>
          <w:szCs w:val="20"/>
          <w:lang w:val="en-GB"/>
        </w:rPr>
        <w:t xml:space="preserve">All disclosure requirements envisaged in Pillar </w:t>
      </w:r>
      <w:r w:rsidR="00852751">
        <w:rPr>
          <w:rFonts w:ascii="Book Antiqua" w:eastAsia="Book Antiqua" w:hAnsi="Book Antiqua"/>
          <w:color w:val="000000"/>
          <w:sz w:val="20"/>
          <w:szCs w:val="20"/>
          <w:lang w:val="en-GB"/>
        </w:rPr>
        <w:t>III</w:t>
      </w:r>
      <w:r w:rsidRPr="00E762AD">
        <w:rPr>
          <w:rFonts w:ascii="Book Antiqua" w:eastAsia="Book Antiqua" w:hAnsi="Book Antiqua"/>
          <w:color w:val="000000"/>
          <w:sz w:val="20"/>
          <w:szCs w:val="20"/>
          <w:lang w:val="en-GB"/>
        </w:rPr>
        <w:t xml:space="preserve"> should take into account and be </w:t>
      </w:r>
      <w:r w:rsidR="00FF3D14">
        <w:rPr>
          <w:rFonts w:ascii="Book Antiqua" w:eastAsia="Book Antiqua" w:hAnsi="Book Antiqua"/>
          <w:color w:val="000000"/>
          <w:sz w:val="20"/>
          <w:szCs w:val="20"/>
          <w:lang w:val="en-GB"/>
        </w:rPr>
        <w:t>subject to</w:t>
      </w:r>
      <w:r w:rsidRPr="00E762AD">
        <w:rPr>
          <w:rFonts w:ascii="Book Antiqua" w:eastAsia="Book Antiqua" w:hAnsi="Book Antiqua"/>
          <w:color w:val="000000"/>
          <w:sz w:val="20"/>
          <w:szCs w:val="20"/>
          <w:lang w:val="en-GB"/>
        </w:rPr>
        <w:t xml:space="preserve"> privacy law limitations, bank secrecy and other applicable legal limitations.</w:t>
      </w:r>
    </w:p>
    <w:p w:rsidR="008319F2" w:rsidRPr="00852751" w:rsidRDefault="00852751" w:rsidP="00852751">
      <w:pPr>
        <w:keepNext/>
        <w:widowControl w:val="0"/>
        <w:spacing w:after="200" w:line="288" w:lineRule="auto"/>
        <w:jc w:val="both"/>
        <w:textAlignment w:val="baseline"/>
        <w:rPr>
          <w:rFonts w:ascii="Book Antiqua" w:eastAsia="Book Antiqua" w:hAnsi="Book Antiqua"/>
          <w:color w:val="000000"/>
          <w:sz w:val="20"/>
          <w:szCs w:val="20"/>
          <w:u w:val="single"/>
          <w:lang w:val="en-GB"/>
        </w:rPr>
      </w:pPr>
      <w:r w:rsidRPr="00852751">
        <w:rPr>
          <w:rFonts w:ascii="Book Antiqua" w:eastAsia="Book Antiqua" w:hAnsi="Book Antiqua"/>
          <w:color w:val="000000"/>
          <w:sz w:val="20"/>
          <w:szCs w:val="20"/>
          <w:u w:val="single"/>
          <w:lang w:val="en-GB"/>
        </w:rPr>
        <w:t xml:space="preserve">Criterion </w:t>
      </w:r>
      <w:r w:rsidR="003E6B48" w:rsidRPr="00852751">
        <w:rPr>
          <w:rFonts w:ascii="Book Antiqua" w:eastAsia="Book Antiqua" w:hAnsi="Book Antiqua"/>
          <w:color w:val="000000"/>
          <w:sz w:val="20"/>
          <w:szCs w:val="20"/>
          <w:u w:val="single"/>
          <w:lang w:val="en-GB"/>
        </w:rPr>
        <w:t>18</w:t>
      </w:r>
    </w:p>
    <w:p w:rsidR="008319F2" w:rsidRPr="00E762AD" w:rsidRDefault="003E6B48" w:rsidP="00E762AD">
      <w:pPr>
        <w:spacing w:after="200" w:line="288" w:lineRule="auto"/>
        <w:jc w:val="both"/>
        <w:textAlignment w:val="baseline"/>
        <w:rPr>
          <w:rFonts w:ascii="Book Antiqua" w:eastAsia="Book Antiqua" w:hAnsi="Book Antiqua"/>
          <w:color w:val="000000"/>
          <w:sz w:val="20"/>
          <w:szCs w:val="20"/>
          <w:lang w:val="en-GB"/>
        </w:rPr>
      </w:pPr>
      <w:r w:rsidRPr="00E762AD">
        <w:rPr>
          <w:rFonts w:ascii="Book Antiqua" w:eastAsia="Book Antiqua" w:hAnsi="Book Antiqua"/>
          <w:color w:val="000000"/>
          <w:sz w:val="20"/>
          <w:szCs w:val="20"/>
          <w:lang w:val="en-GB"/>
        </w:rPr>
        <w:t xml:space="preserve">Changes to the debt recovery mechanisms and procedures are typically allowed, for instance to align them </w:t>
      </w:r>
      <w:r w:rsidR="000E2603">
        <w:rPr>
          <w:rFonts w:ascii="Book Antiqua" w:eastAsia="Book Antiqua" w:hAnsi="Book Antiqua"/>
          <w:color w:val="000000"/>
          <w:sz w:val="20"/>
          <w:szCs w:val="20"/>
          <w:lang w:val="en-GB"/>
        </w:rPr>
        <w:t>with</w:t>
      </w:r>
      <w:r w:rsidRPr="00E762AD">
        <w:rPr>
          <w:rFonts w:ascii="Book Antiqua" w:eastAsia="Book Antiqua" w:hAnsi="Book Antiqua"/>
          <w:color w:val="000000"/>
          <w:sz w:val="20"/>
          <w:szCs w:val="20"/>
          <w:lang w:val="en-GB"/>
        </w:rPr>
        <w:t xml:space="preserve"> </w:t>
      </w:r>
      <w:r w:rsidR="00884503">
        <w:rPr>
          <w:rFonts w:ascii="Book Antiqua" w:eastAsia="Book Antiqua" w:hAnsi="Book Antiqua"/>
          <w:color w:val="000000"/>
          <w:sz w:val="20"/>
          <w:szCs w:val="20"/>
          <w:lang w:val="en-GB"/>
        </w:rPr>
        <w:t xml:space="preserve">the </w:t>
      </w:r>
      <w:r w:rsidRPr="00E762AD">
        <w:rPr>
          <w:rFonts w:ascii="Book Antiqua" w:eastAsia="Book Antiqua" w:hAnsi="Book Antiqua"/>
          <w:color w:val="000000"/>
          <w:sz w:val="20"/>
          <w:szCs w:val="20"/>
          <w:lang w:val="en-GB"/>
        </w:rPr>
        <w:t>changes in the debt recovery policy of the originator/servicer. This should be reflected in the criterion.</w:t>
      </w:r>
    </w:p>
    <w:sectPr w:rsidR="008319F2" w:rsidRPr="00E762AD" w:rsidSect="009F0468">
      <w:footerReference w:type="default" r:id="rId9"/>
      <w:pgSz w:w="11904" w:h="16843"/>
      <w:pgMar w:top="1701" w:right="1418" w:bottom="1418" w:left="1418" w:header="720"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68" w:rsidRDefault="009F0468" w:rsidP="009F0468">
      <w:r>
        <w:separator/>
      </w:r>
    </w:p>
  </w:endnote>
  <w:endnote w:type="continuationSeparator" w:id="0">
    <w:p w:rsidR="009F0468" w:rsidRDefault="009F0468" w:rsidP="009F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 Antiqua">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839008"/>
      <w:docPartObj>
        <w:docPartGallery w:val="Page Numbers (Bottom of Page)"/>
        <w:docPartUnique/>
      </w:docPartObj>
    </w:sdtPr>
    <w:sdtEndPr>
      <w:rPr>
        <w:rFonts w:ascii="Book Antiqua" w:hAnsi="Book Antiqua"/>
        <w:sz w:val="18"/>
        <w:szCs w:val="18"/>
      </w:rPr>
    </w:sdtEndPr>
    <w:sdtContent>
      <w:p w:rsidR="009F0468" w:rsidRPr="009F0468" w:rsidRDefault="009F0468">
        <w:pPr>
          <w:pStyle w:val="Pidipagina"/>
          <w:jc w:val="center"/>
          <w:rPr>
            <w:rFonts w:ascii="Book Antiqua" w:hAnsi="Book Antiqua"/>
            <w:sz w:val="18"/>
            <w:szCs w:val="18"/>
          </w:rPr>
        </w:pPr>
        <w:r w:rsidRPr="009F0468">
          <w:rPr>
            <w:rFonts w:ascii="Book Antiqua" w:hAnsi="Book Antiqua"/>
            <w:sz w:val="18"/>
            <w:szCs w:val="18"/>
          </w:rPr>
          <w:fldChar w:fldCharType="begin"/>
        </w:r>
        <w:r w:rsidRPr="009F0468">
          <w:rPr>
            <w:rFonts w:ascii="Book Antiqua" w:hAnsi="Book Antiqua"/>
            <w:sz w:val="18"/>
            <w:szCs w:val="18"/>
          </w:rPr>
          <w:instrText>PAGE   \* MERGEFORMAT</w:instrText>
        </w:r>
        <w:r w:rsidRPr="009F0468">
          <w:rPr>
            <w:rFonts w:ascii="Book Antiqua" w:hAnsi="Book Antiqua"/>
            <w:sz w:val="18"/>
            <w:szCs w:val="18"/>
          </w:rPr>
          <w:fldChar w:fldCharType="separate"/>
        </w:r>
        <w:r w:rsidR="00211322" w:rsidRPr="00211322">
          <w:rPr>
            <w:rFonts w:ascii="Book Antiqua" w:hAnsi="Book Antiqua"/>
            <w:noProof/>
            <w:sz w:val="18"/>
            <w:szCs w:val="18"/>
            <w:lang w:val="it-IT"/>
          </w:rPr>
          <w:t>3</w:t>
        </w:r>
        <w:r w:rsidRPr="009F0468">
          <w:rPr>
            <w:rFonts w:ascii="Book Antiqua" w:hAnsi="Book Antiqua"/>
            <w:sz w:val="18"/>
            <w:szCs w:val="18"/>
          </w:rPr>
          <w:fldChar w:fldCharType="end"/>
        </w:r>
      </w:p>
    </w:sdtContent>
  </w:sdt>
  <w:p w:rsidR="009F0468" w:rsidRDefault="009F04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68" w:rsidRDefault="009F0468" w:rsidP="009F0468">
      <w:r>
        <w:separator/>
      </w:r>
    </w:p>
  </w:footnote>
  <w:footnote w:type="continuationSeparator" w:id="0">
    <w:p w:rsidR="009F0468" w:rsidRDefault="009F0468" w:rsidP="009F0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61549"/>
    <w:multiLevelType w:val="hybridMultilevel"/>
    <w:tmpl w:val="96560E1C"/>
    <w:lvl w:ilvl="0" w:tplc="BDF291A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8319F2"/>
    <w:rsid w:val="000672C3"/>
    <w:rsid w:val="000E2603"/>
    <w:rsid w:val="00133683"/>
    <w:rsid w:val="001A6F37"/>
    <w:rsid w:val="00211322"/>
    <w:rsid w:val="00257AE8"/>
    <w:rsid w:val="003E6B48"/>
    <w:rsid w:val="004540D6"/>
    <w:rsid w:val="004D6802"/>
    <w:rsid w:val="004E69DC"/>
    <w:rsid w:val="00503CE7"/>
    <w:rsid w:val="005A652D"/>
    <w:rsid w:val="007F2B11"/>
    <w:rsid w:val="008319F2"/>
    <w:rsid w:val="00852751"/>
    <w:rsid w:val="00884503"/>
    <w:rsid w:val="00962620"/>
    <w:rsid w:val="00962A4C"/>
    <w:rsid w:val="009D15BF"/>
    <w:rsid w:val="009F0468"/>
    <w:rsid w:val="00B77CB9"/>
    <w:rsid w:val="00BC66CE"/>
    <w:rsid w:val="00D81D45"/>
    <w:rsid w:val="00E762AD"/>
    <w:rsid w:val="00FF3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0468"/>
    <w:pPr>
      <w:tabs>
        <w:tab w:val="center" w:pos="4819"/>
        <w:tab w:val="right" w:pos="9638"/>
      </w:tabs>
    </w:pPr>
  </w:style>
  <w:style w:type="character" w:customStyle="1" w:styleId="IntestazioneCarattere">
    <w:name w:val="Intestazione Carattere"/>
    <w:basedOn w:val="Carpredefinitoparagrafo"/>
    <w:link w:val="Intestazione"/>
    <w:uiPriority w:val="99"/>
    <w:rsid w:val="009F0468"/>
  </w:style>
  <w:style w:type="paragraph" w:styleId="Pidipagina">
    <w:name w:val="footer"/>
    <w:basedOn w:val="Normale"/>
    <w:link w:val="PidipaginaCarattere"/>
    <w:uiPriority w:val="99"/>
    <w:unhideWhenUsed/>
    <w:rsid w:val="009F0468"/>
    <w:pPr>
      <w:tabs>
        <w:tab w:val="center" w:pos="4819"/>
        <w:tab w:val="right" w:pos="9638"/>
      </w:tabs>
    </w:pPr>
  </w:style>
  <w:style w:type="character" w:customStyle="1" w:styleId="PidipaginaCarattere">
    <w:name w:val="Piè di pagina Carattere"/>
    <w:basedOn w:val="Carpredefinitoparagrafo"/>
    <w:link w:val="Pidipagina"/>
    <w:uiPriority w:val="99"/>
    <w:rsid w:val="009F0468"/>
  </w:style>
  <w:style w:type="paragraph" w:styleId="Paragrafoelenco">
    <w:name w:val="List Paragraph"/>
    <w:basedOn w:val="Normale"/>
    <w:uiPriority w:val="34"/>
    <w:qFormat/>
    <w:rsid w:val="00503CE7"/>
    <w:pPr>
      <w:spacing w:after="200" w:line="276" w:lineRule="auto"/>
      <w:ind w:left="720"/>
      <w:contextualSpacing/>
    </w:pPr>
    <w:rPr>
      <w:rFonts w:asciiTheme="minorHAnsi" w:eastAsiaTheme="minorHAnsi" w:hAnsiTheme="minorHAnsi" w:cstheme="minorBidi"/>
      <w:lang w:val="it-IT"/>
    </w:rPr>
  </w:style>
  <w:style w:type="paragraph" w:customStyle="1" w:styleId="Default">
    <w:name w:val="Default"/>
    <w:rsid w:val="003E6B48"/>
    <w:pPr>
      <w:autoSpaceDE w:val="0"/>
      <w:autoSpaceDN w:val="0"/>
      <w:adjustRightInd w:val="0"/>
    </w:pPr>
    <w:rPr>
      <w:rFonts w:ascii="Calibri" w:hAnsi="Calibri" w:cs="Calibri"/>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0468"/>
    <w:pPr>
      <w:tabs>
        <w:tab w:val="center" w:pos="4819"/>
        <w:tab w:val="right" w:pos="9638"/>
      </w:tabs>
    </w:pPr>
  </w:style>
  <w:style w:type="character" w:customStyle="1" w:styleId="IntestazioneCarattere">
    <w:name w:val="Intestazione Carattere"/>
    <w:basedOn w:val="Carpredefinitoparagrafo"/>
    <w:link w:val="Intestazione"/>
    <w:uiPriority w:val="99"/>
    <w:rsid w:val="009F0468"/>
  </w:style>
  <w:style w:type="paragraph" w:styleId="Pidipagina">
    <w:name w:val="footer"/>
    <w:basedOn w:val="Normale"/>
    <w:link w:val="PidipaginaCarattere"/>
    <w:uiPriority w:val="99"/>
    <w:unhideWhenUsed/>
    <w:rsid w:val="009F0468"/>
    <w:pPr>
      <w:tabs>
        <w:tab w:val="center" w:pos="4819"/>
        <w:tab w:val="right" w:pos="9638"/>
      </w:tabs>
    </w:pPr>
  </w:style>
  <w:style w:type="character" w:customStyle="1" w:styleId="PidipaginaCarattere">
    <w:name w:val="Piè di pagina Carattere"/>
    <w:basedOn w:val="Carpredefinitoparagrafo"/>
    <w:link w:val="Pidipagina"/>
    <w:uiPriority w:val="99"/>
    <w:rsid w:val="009F0468"/>
  </w:style>
  <w:style w:type="paragraph" w:styleId="Paragrafoelenco">
    <w:name w:val="List Paragraph"/>
    <w:basedOn w:val="Normale"/>
    <w:uiPriority w:val="34"/>
    <w:qFormat/>
    <w:rsid w:val="00503CE7"/>
    <w:pPr>
      <w:spacing w:after="200" w:line="276" w:lineRule="auto"/>
      <w:ind w:left="720"/>
      <w:contextualSpacing/>
    </w:pPr>
    <w:rPr>
      <w:rFonts w:asciiTheme="minorHAnsi" w:eastAsiaTheme="minorHAnsi" w:hAnsiTheme="minorHAnsi" w:cstheme="minorBidi"/>
      <w:lang w:val="it-IT"/>
    </w:rPr>
  </w:style>
  <w:style w:type="paragraph" w:customStyle="1" w:styleId="Default">
    <w:name w:val="Default"/>
    <w:rsid w:val="003E6B48"/>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07F6-55A0-4997-BCDE-5ABF078A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928</Words>
  <Characters>5295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Maienza</dc:creator>
  <cp:lastModifiedBy>MM</cp:lastModifiedBy>
  <cp:revision>16</cp:revision>
  <dcterms:created xsi:type="dcterms:W3CDTF">2015-01-13T11:31:00Z</dcterms:created>
  <dcterms:modified xsi:type="dcterms:W3CDTF">2015-01-13T18:25:00Z</dcterms:modified>
</cp:coreProperties>
</file>