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1148E" w14:textId="77777777" w:rsidR="0091227A" w:rsidRPr="0091227A" w:rsidRDefault="0091227A" w:rsidP="0091227A">
      <w:pPr>
        <w:tabs>
          <w:tab w:val="left" w:pos="2304"/>
          <w:tab w:val="right" w:pos="9072"/>
        </w:tabs>
        <w:rPr>
          <w:rFonts w:ascii="Akkurat Light Pro" w:hAnsi="Akkurat Light Pro"/>
          <w:lang w:val="en-US"/>
        </w:rPr>
      </w:pPr>
      <w:bookmarkStart w:id="0" w:name="_GoBack"/>
      <w:bookmarkEnd w:id="0"/>
      <w:r w:rsidRPr="0091227A">
        <w:rPr>
          <w:rFonts w:ascii="Akkurat Light Pro" w:hAnsi="Akkurat Light Pro"/>
          <w:lang w:val="en-US"/>
        </w:rPr>
        <w:tab/>
      </w:r>
    </w:p>
    <w:p w14:paraId="4BC1148F" w14:textId="77777777" w:rsidR="001E1BD6" w:rsidRPr="008474EF" w:rsidRDefault="001E1BD6" w:rsidP="001E1BD6">
      <w:pPr>
        <w:jc w:val="right"/>
        <w:rPr>
          <w:lang w:val="en-GB"/>
        </w:rPr>
      </w:pPr>
      <w:r w:rsidRPr="008474EF">
        <w:rPr>
          <w:lang w:val="en-GB"/>
        </w:rPr>
        <w:t>Ref.:</w:t>
      </w:r>
      <w:bookmarkStart w:id="1" w:name="DocRef"/>
      <w:r>
        <w:rPr>
          <w:lang w:val="en-GB"/>
        </w:rPr>
        <w:t>EBF_012235G</w:t>
      </w:r>
      <w:bookmarkEnd w:id="1"/>
    </w:p>
    <w:p w14:paraId="4BC11490" w14:textId="3D900CD0" w:rsidR="001E1BD6" w:rsidRPr="008474EF" w:rsidRDefault="001E1BD6" w:rsidP="001E1BD6">
      <w:pPr>
        <w:jc w:val="right"/>
        <w:rPr>
          <w:lang w:val="en-GB"/>
        </w:rPr>
      </w:pPr>
      <w:r w:rsidRPr="008474EF">
        <w:rPr>
          <w:lang w:val="en-GB"/>
        </w:rPr>
        <w:t xml:space="preserve">Brussels, </w:t>
      </w:r>
      <w:r w:rsidR="00A66E7F">
        <w:rPr>
          <w:lang w:val="en-GB"/>
        </w:rPr>
        <w:t>12</w:t>
      </w:r>
      <w:r w:rsidR="00EE5C5F" w:rsidRPr="008474EF">
        <w:rPr>
          <w:lang w:val="en-GB"/>
        </w:rPr>
        <w:t xml:space="preserve"> </w:t>
      </w:r>
      <w:r w:rsidR="0009302E" w:rsidRPr="008474EF">
        <w:rPr>
          <w:lang w:val="en-GB"/>
        </w:rPr>
        <w:t>January</w:t>
      </w:r>
      <w:r w:rsidR="00EE5C5F" w:rsidRPr="008474EF">
        <w:rPr>
          <w:lang w:val="en-GB"/>
        </w:rPr>
        <w:t xml:space="preserve"> 201</w:t>
      </w:r>
      <w:r w:rsidR="0009302E" w:rsidRPr="008474EF">
        <w:rPr>
          <w:lang w:val="en-GB"/>
        </w:rPr>
        <w:t>5</w:t>
      </w:r>
    </w:p>
    <w:p w14:paraId="4BC11491" w14:textId="77777777" w:rsidR="001E1BD6" w:rsidRPr="008474EF" w:rsidRDefault="001E1BD6" w:rsidP="001E1BD6">
      <w:pPr>
        <w:rPr>
          <w:b/>
          <w:i/>
          <w:lang w:val="en-GB"/>
        </w:rPr>
      </w:pPr>
    </w:p>
    <w:p w14:paraId="4BC11492" w14:textId="77777777" w:rsidR="001E1BD6" w:rsidRPr="005870BC" w:rsidRDefault="001E1BD6" w:rsidP="001E1BD6">
      <w:pPr>
        <w:jc w:val="both"/>
        <w:rPr>
          <w:b/>
          <w:bCs/>
          <w:i/>
          <w:iCs/>
          <w:sz w:val="20"/>
          <w:lang w:val="en-US"/>
        </w:rPr>
      </w:pPr>
      <w:r w:rsidRPr="005870BC">
        <w:rPr>
          <w:b/>
          <w:bCs/>
          <w:i/>
          <w:iCs/>
          <w:sz w:val="20"/>
          <w:lang w:val="en-US"/>
        </w:rPr>
        <w:t>Launched in 1960, the European Banking Federation is the voice of the European banking sector from the European Union and European Free Trade Association countries. The EBF represents the interests of some 4,500 banks, large and small, wholesale and retail, local and cross-border financial institutions. Together, these banks account for over 80% of the total assets and deposits and some 80% of all bank loans in the EU alone.</w:t>
      </w:r>
    </w:p>
    <w:p w14:paraId="4BC11493" w14:textId="77777777" w:rsidR="001E1BD6" w:rsidRDefault="001E1BD6" w:rsidP="001E1BD6">
      <w:pPr>
        <w:rPr>
          <w:bCs/>
          <w:iCs/>
          <w:lang w:val="en-US"/>
        </w:rPr>
      </w:pPr>
    </w:p>
    <w:p w14:paraId="4BC11494" w14:textId="79DC8AD2" w:rsidR="001E1BD6" w:rsidRPr="001E57E5" w:rsidRDefault="00EE5C5F" w:rsidP="00152440">
      <w:pPr>
        <w:pStyle w:val="Heading2"/>
        <w:spacing w:after="240"/>
        <w:jc w:val="both"/>
        <w:rPr>
          <w:lang w:val="en-US"/>
        </w:rPr>
      </w:pPr>
      <w:r>
        <w:rPr>
          <w:lang w:val="en-US"/>
        </w:rPr>
        <w:t xml:space="preserve">EBF response to </w:t>
      </w:r>
      <w:r w:rsidR="00152440">
        <w:rPr>
          <w:lang w:val="en-US"/>
        </w:rPr>
        <w:t xml:space="preserve">the </w:t>
      </w:r>
      <w:r>
        <w:rPr>
          <w:lang w:val="en-US"/>
        </w:rPr>
        <w:t>EBA Discussion Paper on Simple Standard and Transparent Securitisations</w:t>
      </w:r>
      <w:r w:rsidRPr="001E57E5">
        <w:rPr>
          <w:lang w:val="en-US"/>
        </w:rPr>
        <w:t xml:space="preserve"> </w:t>
      </w:r>
      <w:r w:rsidR="001E1BD6" w:rsidRPr="001E57E5">
        <w:rPr>
          <w:lang w:val="en-US"/>
        </w:rPr>
        <w:fldChar w:fldCharType="begin"/>
      </w:r>
      <w:r w:rsidR="001E1BD6" w:rsidRPr="001E57E5">
        <w:rPr>
          <w:lang w:val="en-US"/>
        </w:rPr>
        <w:instrText xml:space="preserve"> TITLE   \* MERGEFORMAT </w:instrText>
      </w:r>
      <w:r w:rsidR="001E1BD6" w:rsidRPr="001E57E5">
        <w:rPr>
          <w:lang w:val="en-US"/>
        </w:rPr>
        <w:fldChar w:fldCharType="end"/>
      </w:r>
    </w:p>
    <w:p w14:paraId="09036612" w14:textId="69444336" w:rsidR="00152440" w:rsidRDefault="00152440" w:rsidP="00152440">
      <w:pPr>
        <w:spacing w:before="240"/>
        <w:jc w:val="both"/>
        <w:rPr>
          <w:rFonts w:ascii="Times New Roman" w:hAnsi="Times New Roman"/>
          <w:bCs/>
          <w:iCs/>
          <w:sz w:val="24"/>
          <w:szCs w:val="24"/>
          <w:lang w:val="en-US"/>
        </w:rPr>
      </w:pPr>
      <w:r>
        <w:rPr>
          <w:rFonts w:ascii="Times New Roman" w:hAnsi="Times New Roman"/>
          <w:bCs/>
          <w:iCs/>
          <w:sz w:val="24"/>
          <w:szCs w:val="24"/>
          <w:lang w:val="en-US"/>
        </w:rPr>
        <w:t xml:space="preserve">The EBF welcomes the </w:t>
      </w:r>
      <w:r w:rsidRPr="00A72747">
        <w:rPr>
          <w:rFonts w:ascii="Times New Roman" w:hAnsi="Times New Roman"/>
          <w:bCs/>
          <w:iCs/>
          <w:sz w:val="24"/>
          <w:szCs w:val="24"/>
          <w:lang w:val="en-US"/>
        </w:rPr>
        <w:t xml:space="preserve">opportunity to express the views of the EU banking industry on the discussion paper published by the European </w:t>
      </w:r>
      <w:r>
        <w:rPr>
          <w:rFonts w:ascii="Times New Roman" w:hAnsi="Times New Roman"/>
          <w:bCs/>
          <w:iCs/>
          <w:sz w:val="24"/>
          <w:szCs w:val="24"/>
          <w:lang w:val="en-US"/>
        </w:rPr>
        <w:t>Banking Authority (EBA) at the behest of the Commission following its call for advice</w:t>
      </w:r>
      <w:r>
        <w:rPr>
          <w:rStyle w:val="FootnoteReference"/>
          <w:rFonts w:ascii="Times New Roman" w:hAnsi="Times New Roman"/>
          <w:bCs/>
          <w:iCs/>
          <w:sz w:val="24"/>
          <w:szCs w:val="24"/>
          <w:lang w:val="en-US"/>
        </w:rPr>
        <w:footnoteReference w:id="1"/>
      </w:r>
      <w:r>
        <w:rPr>
          <w:rFonts w:ascii="Times New Roman" w:hAnsi="Times New Roman"/>
          <w:bCs/>
          <w:iCs/>
          <w:sz w:val="24"/>
          <w:szCs w:val="24"/>
          <w:lang w:val="en-US"/>
        </w:rPr>
        <w:t xml:space="preserve"> </w:t>
      </w:r>
      <w:r w:rsidRPr="00A72747">
        <w:rPr>
          <w:rFonts w:ascii="Times New Roman" w:hAnsi="Times New Roman"/>
          <w:bCs/>
          <w:iCs/>
          <w:sz w:val="24"/>
          <w:szCs w:val="24"/>
          <w:lang w:val="en-US"/>
        </w:rPr>
        <w:t xml:space="preserve">on </w:t>
      </w:r>
      <w:r>
        <w:rPr>
          <w:rFonts w:ascii="Times New Roman" w:hAnsi="Times New Roman"/>
          <w:bCs/>
          <w:iCs/>
          <w:sz w:val="24"/>
          <w:szCs w:val="24"/>
          <w:lang w:val="en-US"/>
        </w:rPr>
        <w:t xml:space="preserve">the identification of simple standard and transparent securitisations. The EBF appreciates </w:t>
      </w:r>
      <w:r w:rsidRPr="00A72747">
        <w:rPr>
          <w:rFonts w:ascii="Times New Roman" w:hAnsi="Times New Roman"/>
          <w:bCs/>
          <w:iCs/>
          <w:sz w:val="24"/>
          <w:szCs w:val="24"/>
          <w:lang w:val="en-US"/>
        </w:rPr>
        <w:t xml:space="preserve">the </w:t>
      </w:r>
      <w:r>
        <w:rPr>
          <w:rFonts w:ascii="Times New Roman" w:hAnsi="Times New Roman"/>
          <w:bCs/>
          <w:iCs/>
          <w:sz w:val="24"/>
          <w:szCs w:val="24"/>
          <w:lang w:val="en-US"/>
        </w:rPr>
        <w:t xml:space="preserve">determined resolution of European policy makers to put in place policy actions that can help overcome the obstacles to the proper functioning of the European securitisation market from the beginning of the crisis. </w:t>
      </w:r>
    </w:p>
    <w:p w14:paraId="626F865F" w14:textId="1BDAEA6F" w:rsidR="00152440" w:rsidRDefault="00152440" w:rsidP="00152440">
      <w:pPr>
        <w:jc w:val="both"/>
        <w:rPr>
          <w:rFonts w:ascii="Times New Roman" w:hAnsi="Times New Roman"/>
          <w:bCs/>
          <w:iCs/>
          <w:sz w:val="24"/>
          <w:szCs w:val="24"/>
          <w:lang w:val="en-US"/>
        </w:rPr>
      </w:pPr>
      <w:r>
        <w:rPr>
          <w:rFonts w:ascii="Times New Roman" w:hAnsi="Times New Roman"/>
          <w:bCs/>
          <w:iCs/>
          <w:sz w:val="24"/>
          <w:szCs w:val="24"/>
          <w:lang w:val="en-US"/>
        </w:rPr>
        <w:t>The EBF notes that the EBA paper distills the essence of other papers recently issued</w:t>
      </w:r>
      <w:r>
        <w:rPr>
          <w:rStyle w:val="FootnoteReference"/>
          <w:rFonts w:ascii="Times New Roman" w:hAnsi="Times New Roman"/>
          <w:bCs/>
          <w:iCs/>
          <w:sz w:val="24"/>
          <w:szCs w:val="24"/>
          <w:lang w:val="en-US"/>
        </w:rPr>
        <w:footnoteReference w:id="2"/>
      </w:r>
      <w:r>
        <w:rPr>
          <w:rFonts w:ascii="Times New Roman" w:hAnsi="Times New Roman"/>
          <w:bCs/>
          <w:iCs/>
          <w:sz w:val="24"/>
          <w:szCs w:val="24"/>
          <w:lang w:val="en-US"/>
        </w:rPr>
        <w:t xml:space="preserve"> and puts forward a pragmatic solution to identify simple standard and transparent securitisations which is a necessary step to move forward and take concrete actions. Importantly, the proposals have to be assessed together with the revisions to the Securitisation Framework which </w:t>
      </w:r>
      <w:r w:rsidR="005E4951">
        <w:rPr>
          <w:rFonts w:ascii="Times New Roman" w:hAnsi="Times New Roman"/>
          <w:bCs/>
          <w:iCs/>
          <w:sz w:val="24"/>
          <w:szCs w:val="24"/>
          <w:lang w:val="en-US"/>
        </w:rPr>
        <w:t xml:space="preserve">latest version has been published by the BCBS in December 2014 after two consultations. </w:t>
      </w:r>
      <w:r w:rsidR="005E4951" w:rsidRPr="00860D63">
        <w:rPr>
          <w:rFonts w:ascii="Times New Roman" w:hAnsi="Times New Roman"/>
          <w:bCs/>
          <w:iCs/>
          <w:sz w:val="24"/>
          <w:szCs w:val="24"/>
          <w:lang w:val="en-GB"/>
        </w:rPr>
        <w:t>Additionally, the Committee and IOSCO have issued a consultative document with proposed criteria for identifying simple, transparent and comparable securitisations. Moreover, it has been announced that the Committee will consider in 2015 how to incorporate such criteria into the Securitisation Framework.</w:t>
      </w:r>
      <w:r w:rsidR="005E4951">
        <w:rPr>
          <w:rFonts w:ascii="Times New Roman" w:hAnsi="Times New Roman"/>
          <w:bCs/>
          <w:iCs/>
          <w:sz w:val="24"/>
          <w:szCs w:val="24"/>
          <w:lang w:val="en-GB"/>
        </w:rPr>
        <w:t xml:space="preserve"> </w:t>
      </w:r>
      <w:r>
        <w:rPr>
          <w:rFonts w:ascii="Times New Roman" w:hAnsi="Times New Roman"/>
          <w:bCs/>
          <w:iCs/>
          <w:sz w:val="24"/>
          <w:szCs w:val="24"/>
          <w:lang w:val="en-US"/>
        </w:rPr>
        <w:t xml:space="preserve"> </w:t>
      </w:r>
    </w:p>
    <w:p w14:paraId="544C88FA" w14:textId="7059A128" w:rsidR="0009302E" w:rsidRPr="00A72747" w:rsidRDefault="00BB7D4F" w:rsidP="00152440">
      <w:pPr>
        <w:jc w:val="both"/>
        <w:rPr>
          <w:rFonts w:ascii="Times New Roman" w:hAnsi="Times New Roman"/>
          <w:bCs/>
          <w:iCs/>
          <w:sz w:val="24"/>
          <w:szCs w:val="24"/>
          <w:lang w:val="en-US"/>
        </w:rPr>
      </w:pPr>
      <w:r>
        <w:rPr>
          <w:rFonts w:ascii="Times New Roman" w:hAnsi="Times New Roman"/>
          <w:bCs/>
          <w:iCs/>
          <w:sz w:val="24"/>
          <w:szCs w:val="24"/>
          <w:lang w:val="en-US"/>
        </w:rPr>
        <w:t xml:space="preserve">The </w:t>
      </w:r>
      <w:r w:rsidR="006238BC">
        <w:rPr>
          <w:rFonts w:ascii="Times New Roman" w:hAnsi="Times New Roman"/>
          <w:bCs/>
          <w:iCs/>
          <w:sz w:val="24"/>
          <w:szCs w:val="24"/>
          <w:lang w:val="en-US"/>
        </w:rPr>
        <w:t>identification of</w:t>
      </w:r>
      <w:r>
        <w:rPr>
          <w:rFonts w:ascii="Times New Roman" w:hAnsi="Times New Roman"/>
          <w:bCs/>
          <w:iCs/>
          <w:sz w:val="24"/>
          <w:szCs w:val="24"/>
          <w:lang w:val="en-US"/>
        </w:rPr>
        <w:t xml:space="preserve"> </w:t>
      </w:r>
      <w:r w:rsidR="006238BC">
        <w:rPr>
          <w:rFonts w:ascii="Times New Roman" w:hAnsi="Times New Roman"/>
          <w:bCs/>
          <w:iCs/>
          <w:sz w:val="24"/>
          <w:szCs w:val="24"/>
          <w:lang w:val="en-US"/>
        </w:rPr>
        <w:t>simple standard and transparent</w:t>
      </w:r>
      <w:r w:rsidR="00743587">
        <w:rPr>
          <w:rFonts w:ascii="Times New Roman" w:hAnsi="Times New Roman"/>
          <w:bCs/>
          <w:iCs/>
          <w:sz w:val="24"/>
          <w:szCs w:val="24"/>
          <w:lang w:val="en-US"/>
        </w:rPr>
        <w:t xml:space="preserve"> securitisations </w:t>
      </w:r>
      <w:r>
        <w:rPr>
          <w:rFonts w:ascii="Times New Roman" w:hAnsi="Times New Roman"/>
          <w:bCs/>
          <w:iCs/>
          <w:sz w:val="24"/>
          <w:szCs w:val="24"/>
          <w:lang w:val="en-US"/>
        </w:rPr>
        <w:t xml:space="preserve">in Europe </w:t>
      </w:r>
      <w:r w:rsidR="006238BC">
        <w:rPr>
          <w:rFonts w:ascii="Times New Roman" w:hAnsi="Times New Roman"/>
          <w:bCs/>
          <w:iCs/>
          <w:sz w:val="24"/>
          <w:szCs w:val="24"/>
          <w:lang w:val="en-US"/>
        </w:rPr>
        <w:t xml:space="preserve">is a necessary step but not sufficient to revive the European securitization market. It </w:t>
      </w:r>
      <w:r w:rsidR="00E021DD">
        <w:rPr>
          <w:rFonts w:ascii="Times New Roman" w:hAnsi="Times New Roman"/>
          <w:bCs/>
          <w:iCs/>
          <w:sz w:val="24"/>
          <w:szCs w:val="24"/>
          <w:lang w:val="en-US"/>
        </w:rPr>
        <w:t xml:space="preserve">needs to be coupled with </w:t>
      </w:r>
      <w:r w:rsidR="006238BC">
        <w:rPr>
          <w:rFonts w:ascii="Times New Roman" w:hAnsi="Times New Roman"/>
          <w:bCs/>
          <w:iCs/>
          <w:sz w:val="24"/>
          <w:szCs w:val="24"/>
          <w:lang w:val="en-US"/>
        </w:rPr>
        <w:t xml:space="preserve">slight changes to the capital requirements </w:t>
      </w:r>
      <w:r w:rsidR="00E021DD">
        <w:rPr>
          <w:rFonts w:ascii="Times New Roman" w:hAnsi="Times New Roman"/>
          <w:bCs/>
          <w:iCs/>
          <w:sz w:val="24"/>
          <w:szCs w:val="24"/>
          <w:lang w:val="en-US"/>
        </w:rPr>
        <w:t>framework</w:t>
      </w:r>
      <w:r>
        <w:rPr>
          <w:rFonts w:ascii="Times New Roman" w:hAnsi="Times New Roman"/>
          <w:bCs/>
          <w:iCs/>
          <w:sz w:val="24"/>
          <w:szCs w:val="24"/>
          <w:lang w:val="en-US"/>
        </w:rPr>
        <w:t xml:space="preserve"> </w:t>
      </w:r>
      <w:r w:rsidR="006238BC">
        <w:rPr>
          <w:rFonts w:ascii="Times New Roman" w:hAnsi="Times New Roman"/>
          <w:bCs/>
          <w:iCs/>
          <w:sz w:val="24"/>
          <w:szCs w:val="24"/>
          <w:lang w:val="en-US"/>
        </w:rPr>
        <w:t xml:space="preserve">that would permit the revival to happen. </w:t>
      </w:r>
      <w:r w:rsidR="00743587">
        <w:rPr>
          <w:rFonts w:ascii="Times New Roman" w:hAnsi="Times New Roman"/>
          <w:bCs/>
          <w:iCs/>
          <w:sz w:val="24"/>
          <w:szCs w:val="24"/>
          <w:lang w:val="en-US"/>
        </w:rPr>
        <w:t xml:space="preserve">For that purpose, the EBF response </w:t>
      </w:r>
      <w:r w:rsidR="006238BC">
        <w:rPr>
          <w:rFonts w:ascii="Times New Roman" w:hAnsi="Times New Roman"/>
          <w:bCs/>
          <w:iCs/>
          <w:sz w:val="24"/>
          <w:szCs w:val="24"/>
          <w:lang w:val="en-US"/>
        </w:rPr>
        <w:t>begins with</w:t>
      </w:r>
      <w:r w:rsidR="00743587">
        <w:rPr>
          <w:rFonts w:ascii="Times New Roman" w:hAnsi="Times New Roman"/>
          <w:bCs/>
          <w:iCs/>
          <w:sz w:val="24"/>
          <w:szCs w:val="24"/>
          <w:lang w:val="en-US"/>
        </w:rPr>
        <w:t xml:space="preserve"> a section of </w:t>
      </w:r>
      <w:r w:rsidR="00004924">
        <w:rPr>
          <w:rFonts w:ascii="Times New Roman" w:hAnsi="Times New Roman"/>
          <w:bCs/>
          <w:iCs/>
          <w:sz w:val="24"/>
          <w:szCs w:val="24"/>
          <w:lang w:val="en-US"/>
        </w:rPr>
        <w:t>introductory</w:t>
      </w:r>
      <w:r w:rsidR="00743587">
        <w:rPr>
          <w:rFonts w:ascii="Times New Roman" w:hAnsi="Times New Roman"/>
          <w:bCs/>
          <w:iCs/>
          <w:sz w:val="24"/>
          <w:szCs w:val="24"/>
          <w:lang w:val="en-US"/>
        </w:rPr>
        <w:t xml:space="preserve"> remarks </w:t>
      </w:r>
      <w:r w:rsidR="00E021DD">
        <w:rPr>
          <w:rFonts w:ascii="Times New Roman" w:hAnsi="Times New Roman"/>
          <w:bCs/>
          <w:iCs/>
          <w:sz w:val="24"/>
          <w:szCs w:val="24"/>
          <w:lang w:val="en-US"/>
        </w:rPr>
        <w:t xml:space="preserve">on the </w:t>
      </w:r>
      <w:r w:rsidR="006238BC">
        <w:rPr>
          <w:rFonts w:ascii="Times New Roman" w:hAnsi="Times New Roman"/>
          <w:bCs/>
          <w:iCs/>
          <w:sz w:val="24"/>
          <w:szCs w:val="24"/>
          <w:lang w:val="en-US"/>
        </w:rPr>
        <w:t xml:space="preserve">securitisation </w:t>
      </w:r>
      <w:r w:rsidR="00E021DD">
        <w:rPr>
          <w:rFonts w:ascii="Times New Roman" w:hAnsi="Times New Roman"/>
          <w:bCs/>
          <w:iCs/>
          <w:sz w:val="24"/>
          <w:szCs w:val="24"/>
          <w:lang w:val="en-US"/>
        </w:rPr>
        <w:t xml:space="preserve">prudential framework </w:t>
      </w:r>
      <w:r>
        <w:rPr>
          <w:rFonts w:ascii="Times New Roman" w:hAnsi="Times New Roman"/>
          <w:bCs/>
          <w:iCs/>
          <w:sz w:val="24"/>
          <w:szCs w:val="24"/>
          <w:lang w:val="en-US"/>
        </w:rPr>
        <w:t xml:space="preserve">including a plausible proposal to </w:t>
      </w:r>
      <w:r w:rsidR="006238BC">
        <w:rPr>
          <w:rFonts w:ascii="Times New Roman" w:hAnsi="Times New Roman"/>
          <w:bCs/>
          <w:iCs/>
          <w:sz w:val="24"/>
          <w:szCs w:val="24"/>
          <w:lang w:val="en-US"/>
        </w:rPr>
        <w:t>promote</w:t>
      </w:r>
      <w:r>
        <w:rPr>
          <w:rFonts w:ascii="Times New Roman" w:hAnsi="Times New Roman"/>
          <w:bCs/>
          <w:iCs/>
          <w:sz w:val="24"/>
          <w:szCs w:val="24"/>
          <w:lang w:val="en-US"/>
        </w:rPr>
        <w:t xml:space="preserve"> the EU qualifying securitisation market with no further delay. </w:t>
      </w:r>
      <w:r w:rsidR="00004924">
        <w:rPr>
          <w:rFonts w:ascii="Times New Roman" w:hAnsi="Times New Roman"/>
          <w:bCs/>
          <w:iCs/>
          <w:sz w:val="24"/>
          <w:szCs w:val="24"/>
          <w:lang w:val="en-US"/>
        </w:rPr>
        <w:t xml:space="preserve"> </w:t>
      </w:r>
      <w:r w:rsidR="00743587">
        <w:rPr>
          <w:rFonts w:ascii="Times New Roman" w:hAnsi="Times New Roman"/>
          <w:bCs/>
          <w:iCs/>
          <w:sz w:val="24"/>
          <w:szCs w:val="24"/>
          <w:lang w:val="en-US"/>
        </w:rPr>
        <w:t xml:space="preserve"> </w:t>
      </w:r>
    </w:p>
    <w:p w14:paraId="6B82CF70" w14:textId="77777777" w:rsidR="00152440" w:rsidRDefault="00152440" w:rsidP="00152440">
      <w:pPr>
        <w:jc w:val="both"/>
        <w:rPr>
          <w:rFonts w:ascii="Times New Roman" w:hAnsi="Times New Roman"/>
          <w:bCs/>
          <w:iCs/>
          <w:sz w:val="24"/>
          <w:szCs w:val="24"/>
          <w:lang w:val="en-US"/>
        </w:rPr>
      </w:pPr>
      <w:r w:rsidRPr="00A72747">
        <w:rPr>
          <w:rFonts w:ascii="Times New Roman" w:hAnsi="Times New Roman"/>
          <w:bCs/>
          <w:iCs/>
          <w:sz w:val="24"/>
          <w:szCs w:val="24"/>
          <w:lang w:val="en-US"/>
        </w:rPr>
        <w:lastRenderedPageBreak/>
        <w:t>Th</w:t>
      </w:r>
      <w:r>
        <w:rPr>
          <w:rFonts w:ascii="Times New Roman" w:hAnsi="Times New Roman"/>
          <w:bCs/>
          <w:iCs/>
          <w:sz w:val="24"/>
          <w:szCs w:val="24"/>
          <w:lang w:val="en-US"/>
        </w:rPr>
        <w:t>is</w:t>
      </w:r>
      <w:r w:rsidRPr="00A72747">
        <w:rPr>
          <w:rFonts w:ascii="Times New Roman" w:hAnsi="Times New Roman"/>
          <w:bCs/>
          <w:iCs/>
          <w:sz w:val="24"/>
          <w:szCs w:val="24"/>
          <w:lang w:val="en-US"/>
        </w:rPr>
        <w:t xml:space="preserve"> EBF response</w:t>
      </w:r>
      <w:r>
        <w:rPr>
          <w:rFonts w:ascii="Times New Roman" w:hAnsi="Times New Roman"/>
          <w:bCs/>
          <w:iCs/>
          <w:sz w:val="24"/>
          <w:szCs w:val="24"/>
          <w:lang w:val="en-US"/>
        </w:rPr>
        <w:t xml:space="preserve"> document</w:t>
      </w:r>
      <w:r w:rsidRPr="00A72747">
        <w:rPr>
          <w:rFonts w:ascii="Times New Roman" w:hAnsi="Times New Roman"/>
          <w:bCs/>
          <w:iCs/>
          <w:sz w:val="24"/>
          <w:szCs w:val="24"/>
          <w:lang w:val="en-US"/>
        </w:rPr>
        <w:t xml:space="preserve"> </w:t>
      </w:r>
      <w:r>
        <w:rPr>
          <w:rFonts w:ascii="Times New Roman" w:hAnsi="Times New Roman"/>
          <w:bCs/>
          <w:iCs/>
          <w:sz w:val="24"/>
          <w:szCs w:val="24"/>
          <w:lang w:val="en-US"/>
        </w:rPr>
        <w:t>is based on the EBF stance elaborated in previous answers to relevant consultations on the subject by the Basel Committee</w:t>
      </w:r>
      <w:r>
        <w:rPr>
          <w:rStyle w:val="FootnoteReference"/>
          <w:rFonts w:ascii="Times New Roman" w:hAnsi="Times New Roman"/>
          <w:bCs/>
          <w:iCs/>
          <w:sz w:val="24"/>
          <w:szCs w:val="24"/>
          <w:lang w:val="en-US"/>
        </w:rPr>
        <w:footnoteReference w:id="3"/>
      </w:r>
      <w:r>
        <w:rPr>
          <w:rFonts w:ascii="Times New Roman" w:hAnsi="Times New Roman"/>
          <w:bCs/>
          <w:iCs/>
          <w:sz w:val="24"/>
          <w:szCs w:val="24"/>
          <w:lang w:val="en-US"/>
        </w:rPr>
        <w:t xml:space="preserve"> and the BoE and the ECB</w:t>
      </w:r>
      <w:r>
        <w:rPr>
          <w:rStyle w:val="FootnoteReference"/>
          <w:rFonts w:ascii="Times New Roman" w:hAnsi="Times New Roman"/>
          <w:bCs/>
          <w:iCs/>
          <w:sz w:val="24"/>
          <w:szCs w:val="24"/>
          <w:lang w:val="en-US"/>
        </w:rPr>
        <w:footnoteReference w:id="4"/>
      </w:r>
      <w:r>
        <w:rPr>
          <w:rFonts w:ascii="Times New Roman" w:hAnsi="Times New Roman"/>
          <w:bCs/>
          <w:iCs/>
          <w:sz w:val="24"/>
          <w:szCs w:val="24"/>
          <w:lang w:val="en-US"/>
        </w:rPr>
        <w:t xml:space="preserve">. The EBF position is enhanced with specific suggestions as to the questions raised in the EBA Discussion Paper. </w:t>
      </w:r>
    </w:p>
    <w:p w14:paraId="145CEF3B" w14:textId="77777777" w:rsidR="00152440" w:rsidRDefault="00152440" w:rsidP="00152440">
      <w:pPr>
        <w:jc w:val="both"/>
        <w:rPr>
          <w:rFonts w:ascii="Times New Roman" w:hAnsi="Times New Roman"/>
          <w:bCs/>
          <w:iCs/>
          <w:sz w:val="24"/>
          <w:szCs w:val="24"/>
          <w:lang w:val="en-US"/>
        </w:rPr>
      </w:pPr>
      <w:r>
        <w:rPr>
          <w:rFonts w:ascii="Times New Roman" w:hAnsi="Times New Roman"/>
          <w:bCs/>
          <w:iCs/>
          <w:sz w:val="24"/>
          <w:szCs w:val="24"/>
          <w:lang w:val="en-US"/>
        </w:rPr>
        <w:t xml:space="preserve">We aim at providing pragmatic views within the general lines of the EBA rightly proposed initiatives that could make upcoming actions timely and effective. </w:t>
      </w:r>
    </w:p>
    <w:p w14:paraId="53DC002E" w14:textId="77777777" w:rsidR="00152440" w:rsidRDefault="00152440" w:rsidP="001E1BD6">
      <w:pPr>
        <w:pStyle w:val="Heading2"/>
        <w:rPr>
          <w:lang w:val="en-US"/>
        </w:rPr>
      </w:pPr>
    </w:p>
    <w:p w14:paraId="4BC11495" w14:textId="3534BEB5" w:rsidR="001E1BD6" w:rsidRPr="005870BC" w:rsidRDefault="00004924" w:rsidP="001E1BD6">
      <w:pPr>
        <w:pStyle w:val="Heading2"/>
        <w:rPr>
          <w:lang w:val="en-US"/>
        </w:rPr>
      </w:pPr>
      <w:r>
        <w:rPr>
          <w:lang w:val="en-US"/>
        </w:rPr>
        <w:t>Introductory</w:t>
      </w:r>
      <w:r w:rsidR="00743587">
        <w:rPr>
          <w:lang w:val="en-US"/>
        </w:rPr>
        <w:t xml:space="preserve"> remarks</w:t>
      </w:r>
      <w:r w:rsidR="003410D8">
        <w:rPr>
          <w:lang w:val="en-US"/>
        </w:rPr>
        <w:t xml:space="preserve"> on </w:t>
      </w:r>
      <w:r w:rsidR="00E021DD">
        <w:rPr>
          <w:lang w:val="en-US"/>
        </w:rPr>
        <w:t>the securiti</w:t>
      </w:r>
      <w:r w:rsidR="006238BC">
        <w:rPr>
          <w:lang w:val="en-US"/>
        </w:rPr>
        <w:t>s</w:t>
      </w:r>
      <w:r w:rsidR="00E021DD">
        <w:rPr>
          <w:lang w:val="en-US"/>
        </w:rPr>
        <w:t>ation prudential framework</w:t>
      </w:r>
      <w:r w:rsidR="001E1BD6" w:rsidRPr="005870BC">
        <w:rPr>
          <w:lang w:val="en-US"/>
        </w:rPr>
        <w:t xml:space="preserve"> </w:t>
      </w:r>
    </w:p>
    <w:p w14:paraId="5A9766BE" w14:textId="5EFDF686" w:rsidR="00152440" w:rsidRDefault="00152440" w:rsidP="00076CB5">
      <w:pPr>
        <w:numPr>
          <w:ilvl w:val="0"/>
          <w:numId w:val="2"/>
        </w:numPr>
        <w:spacing w:before="120"/>
        <w:jc w:val="both"/>
        <w:rPr>
          <w:rFonts w:ascii="Times New Roman" w:hAnsi="Times New Roman"/>
          <w:bCs/>
          <w:iCs/>
          <w:sz w:val="24"/>
          <w:szCs w:val="24"/>
          <w:lang w:val="en-US"/>
        </w:rPr>
      </w:pPr>
      <w:r>
        <w:rPr>
          <w:rFonts w:ascii="Times New Roman" w:hAnsi="Times New Roman"/>
          <w:bCs/>
          <w:iCs/>
          <w:sz w:val="24"/>
          <w:szCs w:val="24"/>
          <w:lang w:val="en-US"/>
        </w:rPr>
        <w:t xml:space="preserve">The EBA analysis of the situation of the securitisation market rightly starts with a first recommendation for a </w:t>
      </w:r>
      <w:r w:rsidRPr="00860D63">
        <w:rPr>
          <w:rFonts w:ascii="Times New Roman" w:hAnsi="Times New Roman"/>
          <w:bCs/>
          <w:iCs/>
          <w:sz w:val="24"/>
          <w:szCs w:val="24"/>
          <w:lang w:val="en-US"/>
        </w:rPr>
        <w:t>holistic review</w:t>
      </w:r>
      <w:r>
        <w:rPr>
          <w:rFonts w:ascii="Times New Roman" w:hAnsi="Times New Roman"/>
          <w:bCs/>
          <w:iCs/>
          <w:sz w:val="24"/>
          <w:szCs w:val="24"/>
          <w:lang w:val="en-US"/>
        </w:rPr>
        <w:t xml:space="preserve"> of the regulatory framework which includes a number of policy measures of different nature that have been (or are to be) enacted with a direct effect on diverse securitisation instruments. Only in the light of that information the effects of new initiatives could be rightly construed.</w:t>
      </w:r>
      <w:r w:rsidR="00270227">
        <w:rPr>
          <w:rFonts w:ascii="Times New Roman" w:hAnsi="Times New Roman"/>
          <w:bCs/>
          <w:iCs/>
          <w:sz w:val="24"/>
          <w:szCs w:val="24"/>
          <w:lang w:val="en-US"/>
        </w:rPr>
        <w:t xml:space="preserve"> </w:t>
      </w:r>
    </w:p>
    <w:p w14:paraId="49448DDA" w14:textId="38605674" w:rsidR="00B35EC3" w:rsidRDefault="000371D0" w:rsidP="00152440">
      <w:pPr>
        <w:numPr>
          <w:ilvl w:val="0"/>
          <w:numId w:val="2"/>
        </w:numPr>
        <w:spacing w:before="120"/>
        <w:jc w:val="both"/>
        <w:rPr>
          <w:rFonts w:ascii="Times New Roman" w:hAnsi="Times New Roman"/>
          <w:bCs/>
          <w:iCs/>
          <w:sz w:val="24"/>
          <w:szCs w:val="24"/>
          <w:lang w:val="en-US"/>
        </w:rPr>
      </w:pPr>
      <w:r>
        <w:rPr>
          <w:rFonts w:ascii="Times New Roman" w:hAnsi="Times New Roman"/>
          <w:bCs/>
          <w:iCs/>
          <w:sz w:val="24"/>
          <w:szCs w:val="24"/>
          <w:lang w:val="en-US"/>
        </w:rPr>
        <w:t xml:space="preserve">Evidence suggests that the </w:t>
      </w:r>
      <w:r w:rsidR="00835B0C">
        <w:rPr>
          <w:rFonts w:ascii="Times New Roman" w:hAnsi="Times New Roman"/>
          <w:bCs/>
          <w:iCs/>
          <w:sz w:val="24"/>
          <w:szCs w:val="24"/>
          <w:lang w:val="en-US"/>
        </w:rPr>
        <w:t>current prudential framework imp</w:t>
      </w:r>
      <w:r w:rsidR="00FC6C18">
        <w:rPr>
          <w:rFonts w:ascii="Times New Roman" w:hAnsi="Times New Roman"/>
          <w:bCs/>
          <w:iCs/>
          <w:sz w:val="24"/>
          <w:szCs w:val="24"/>
          <w:lang w:val="en-US"/>
        </w:rPr>
        <w:t>lies capital for all tranches that is a large multiple of the capital required for holding the</w:t>
      </w:r>
      <w:r w:rsidR="00835B0C">
        <w:rPr>
          <w:rFonts w:ascii="Times New Roman" w:hAnsi="Times New Roman"/>
          <w:bCs/>
          <w:iCs/>
          <w:sz w:val="24"/>
          <w:szCs w:val="24"/>
          <w:lang w:val="en-US"/>
        </w:rPr>
        <w:t xml:space="preserve"> underlying assets. </w:t>
      </w:r>
      <w:r w:rsidR="00A66E7F">
        <w:rPr>
          <w:rFonts w:ascii="Times New Roman" w:hAnsi="Times New Roman"/>
          <w:bCs/>
          <w:iCs/>
          <w:sz w:val="24"/>
          <w:szCs w:val="24"/>
          <w:lang w:val="en-US"/>
        </w:rPr>
        <w:t>For many asset classes, t</w:t>
      </w:r>
      <w:r w:rsidR="00FC6C18">
        <w:rPr>
          <w:rFonts w:ascii="Times New Roman" w:hAnsi="Times New Roman"/>
          <w:bCs/>
          <w:iCs/>
          <w:sz w:val="24"/>
          <w:szCs w:val="24"/>
          <w:lang w:val="en-US"/>
        </w:rPr>
        <w:t xml:space="preserve">he multiplying factor is more than 2 in all EU countries and it scales up to 4 or 5 in some countries. </w:t>
      </w:r>
      <w:r w:rsidR="0035612F">
        <w:rPr>
          <w:rFonts w:ascii="Times New Roman" w:hAnsi="Times New Roman"/>
          <w:bCs/>
          <w:iCs/>
          <w:sz w:val="24"/>
          <w:szCs w:val="24"/>
          <w:lang w:val="en-US"/>
        </w:rPr>
        <w:t xml:space="preserve">This is clearly reflected in </w:t>
      </w:r>
      <w:r w:rsidR="00B35EC3">
        <w:rPr>
          <w:rFonts w:ascii="Times New Roman" w:hAnsi="Times New Roman"/>
          <w:bCs/>
          <w:iCs/>
          <w:sz w:val="24"/>
          <w:szCs w:val="24"/>
          <w:lang w:val="en-US"/>
        </w:rPr>
        <w:t xml:space="preserve">the </w:t>
      </w:r>
      <w:r w:rsidR="0035612F">
        <w:rPr>
          <w:rFonts w:ascii="Times New Roman" w:hAnsi="Times New Roman"/>
          <w:bCs/>
          <w:iCs/>
          <w:sz w:val="24"/>
          <w:szCs w:val="24"/>
          <w:lang w:val="en-US"/>
        </w:rPr>
        <w:t>EBA analysis of SME retail portfolios</w:t>
      </w:r>
      <w:r w:rsidR="0035612F">
        <w:rPr>
          <w:rStyle w:val="FootnoteReference"/>
          <w:rFonts w:ascii="Times New Roman" w:hAnsi="Times New Roman"/>
          <w:bCs/>
          <w:iCs/>
          <w:sz w:val="24"/>
          <w:szCs w:val="24"/>
          <w:lang w:val="en-US"/>
        </w:rPr>
        <w:footnoteReference w:id="5"/>
      </w:r>
      <w:r w:rsidR="00835B0C">
        <w:rPr>
          <w:rFonts w:ascii="Times New Roman" w:hAnsi="Times New Roman"/>
          <w:bCs/>
          <w:iCs/>
          <w:sz w:val="24"/>
          <w:szCs w:val="24"/>
          <w:lang w:val="en-US"/>
        </w:rPr>
        <w:t>.</w:t>
      </w:r>
      <w:r w:rsidR="00B35EC3">
        <w:rPr>
          <w:rFonts w:ascii="Times New Roman" w:hAnsi="Times New Roman"/>
          <w:bCs/>
          <w:iCs/>
          <w:sz w:val="24"/>
          <w:szCs w:val="24"/>
          <w:lang w:val="en-US"/>
        </w:rPr>
        <w:t xml:space="preserve"> </w:t>
      </w:r>
      <w:r w:rsidR="00FC6C18">
        <w:rPr>
          <w:rFonts w:ascii="Times New Roman" w:hAnsi="Times New Roman"/>
          <w:bCs/>
          <w:iCs/>
          <w:sz w:val="24"/>
          <w:szCs w:val="24"/>
          <w:lang w:val="en-US"/>
        </w:rPr>
        <w:t xml:space="preserve">Against this background, it is imperative to address this issue in the first place. </w:t>
      </w:r>
    </w:p>
    <w:p w14:paraId="2AC385A5" w14:textId="7C4B63CC" w:rsidR="003138B8" w:rsidRPr="001C2589" w:rsidRDefault="00835B0C" w:rsidP="003138B8">
      <w:pPr>
        <w:numPr>
          <w:ilvl w:val="0"/>
          <w:numId w:val="2"/>
        </w:numPr>
        <w:spacing w:before="120"/>
        <w:jc w:val="both"/>
        <w:rPr>
          <w:rFonts w:ascii="Times New Roman" w:hAnsi="Times New Roman"/>
          <w:bCs/>
          <w:iCs/>
          <w:sz w:val="24"/>
          <w:szCs w:val="24"/>
          <w:lang w:val="en-US"/>
        </w:rPr>
      </w:pPr>
      <w:r>
        <w:rPr>
          <w:rFonts w:ascii="Times New Roman" w:hAnsi="Times New Roman"/>
          <w:bCs/>
          <w:iCs/>
          <w:sz w:val="24"/>
          <w:szCs w:val="24"/>
          <w:lang w:val="en-US"/>
        </w:rPr>
        <w:t xml:space="preserve">The EBF has long advocated </w:t>
      </w:r>
      <w:r w:rsidR="00A66E7F" w:rsidRPr="00A66E7F">
        <w:rPr>
          <w:rFonts w:ascii="Times New Roman" w:hAnsi="Times New Roman"/>
          <w:bCs/>
          <w:iCs/>
          <w:sz w:val="24"/>
          <w:szCs w:val="24"/>
          <w:lang w:val="en-US"/>
        </w:rPr>
        <w:t xml:space="preserve">approaches based on the concept of capital neutrality pre-and post-securitisation, </w:t>
      </w:r>
      <w:r>
        <w:rPr>
          <w:rFonts w:ascii="Times New Roman" w:hAnsi="Times New Roman"/>
          <w:bCs/>
          <w:iCs/>
          <w:sz w:val="24"/>
          <w:szCs w:val="24"/>
          <w:lang w:val="en-US"/>
        </w:rPr>
        <w:t>Arbitrage-Free-Approach (AFA)</w:t>
      </w:r>
      <w:r w:rsidR="003B3F69">
        <w:rPr>
          <w:rStyle w:val="FootnoteReference"/>
          <w:rFonts w:ascii="Times New Roman" w:hAnsi="Times New Roman"/>
          <w:bCs/>
          <w:iCs/>
          <w:sz w:val="24"/>
          <w:szCs w:val="24"/>
          <w:lang w:val="en-US"/>
        </w:rPr>
        <w:footnoteReference w:id="6"/>
      </w:r>
      <w:r>
        <w:rPr>
          <w:rFonts w:ascii="Times New Roman" w:hAnsi="Times New Roman"/>
          <w:bCs/>
          <w:iCs/>
          <w:sz w:val="24"/>
          <w:szCs w:val="24"/>
          <w:lang w:val="en-US"/>
        </w:rPr>
        <w:t xml:space="preserve"> </w:t>
      </w:r>
      <w:r w:rsidR="00A66E7F" w:rsidRPr="00A66E7F">
        <w:rPr>
          <w:rFonts w:ascii="Times New Roman" w:hAnsi="Times New Roman"/>
          <w:bCs/>
          <w:iCs/>
          <w:sz w:val="24"/>
          <w:szCs w:val="24"/>
          <w:lang w:val="en-US"/>
        </w:rPr>
        <w:t>as well as its conservative calibrated version, the Conservative Monotone Approach (CMA)</w:t>
      </w:r>
      <w:r w:rsidR="003B3F69" w:rsidRPr="00860D63">
        <w:rPr>
          <w:rFonts w:ascii="Times New Roman" w:hAnsi="Times New Roman"/>
          <w:bCs/>
          <w:iCs/>
          <w:sz w:val="24"/>
          <w:szCs w:val="24"/>
          <w:vertAlign w:val="superscript"/>
          <w:lang w:val="en-US"/>
        </w:rPr>
        <w:t>3</w:t>
      </w:r>
      <w:r w:rsidR="00A66E7F" w:rsidRPr="00A66E7F">
        <w:rPr>
          <w:rFonts w:ascii="Times New Roman" w:hAnsi="Times New Roman"/>
          <w:bCs/>
          <w:iCs/>
          <w:sz w:val="24"/>
          <w:szCs w:val="24"/>
          <w:lang w:val="en-US"/>
        </w:rPr>
        <w:t xml:space="preserve"> </w:t>
      </w:r>
      <w:r>
        <w:rPr>
          <w:rFonts w:ascii="Times New Roman" w:hAnsi="Times New Roman"/>
          <w:bCs/>
          <w:iCs/>
          <w:sz w:val="24"/>
          <w:szCs w:val="24"/>
          <w:lang w:val="en-US"/>
        </w:rPr>
        <w:t>for the prudential treatment of securitisations</w:t>
      </w:r>
      <w:r w:rsidR="00757A96" w:rsidRPr="008474EF">
        <w:rPr>
          <w:rFonts w:ascii="Times New Roman" w:hAnsi="Times New Roman"/>
          <w:bCs/>
          <w:iCs/>
          <w:sz w:val="24"/>
          <w:szCs w:val="24"/>
          <w:vertAlign w:val="superscript"/>
          <w:lang w:val="en-US"/>
        </w:rPr>
        <w:t>3</w:t>
      </w:r>
      <w:r>
        <w:rPr>
          <w:rFonts w:ascii="Times New Roman" w:hAnsi="Times New Roman"/>
          <w:bCs/>
          <w:iCs/>
          <w:sz w:val="24"/>
          <w:szCs w:val="24"/>
          <w:lang w:val="en-US"/>
        </w:rPr>
        <w:t>. In this vein, t</w:t>
      </w:r>
      <w:r w:rsidR="00B35EC3">
        <w:rPr>
          <w:rFonts w:ascii="Times New Roman" w:hAnsi="Times New Roman"/>
          <w:bCs/>
          <w:iCs/>
          <w:sz w:val="24"/>
          <w:szCs w:val="24"/>
          <w:lang w:val="en-US"/>
        </w:rPr>
        <w:t>he EBF</w:t>
      </w:r>
      <w:r w:rsidR="00F37B26">
        <w:rPr>
          <w:rFonts w:ascii="Times New Roman" w:hAnsi="Times New Roman"/>
          <w:bCs/>
          <w:iCs/>
          <w:sz w:val="24"/>
          <w:szCs w:val="24"/>
          <w:lang w:val="en-US"/>
        </w:rPr>
        <w:t>, with the agreement of the vast majority of its members</w:t>
      </w:r>
      <w:r w:rsidR="00F37B26">
        <w:rPr>
          <w:rStyle w:val="FootnoteReference"/>
          <w:rFonts w:ascii="Times New Roman" w:hAnsi="Times New Roman"/>
          <w:bCs/>
          <w:iCs/>
          <w:sz w:val="24"/>
          <w:szCs w:val="24"/>
          <w:lang w:val="en-US"/>
        </w:rPr>
        <w:footnoteReference w:id="7"/>
      </w:r>
      <w:r w:rsidR="00F37B26">
        <w:rPr>
          <w:rFonts w:ascii="Times New Roman" w:hAnsi="Times New Roman"/>
          <w:bCs/>
          <w:iCs/>
          <w:sz w:val="24"/>
          <w:szCs w:val="24"/>
          <w:lang w:val="en-US"/>
        </w:rPr>
        <w:t>,</w:t>
      </w:r>
      <w:r w:rsidR="00B35EC3">
        <w:rPr>
          <w:rFonts w:ascii="Times New Roman" w:hAnsi="Times New Roman"/>
          <w:bCs/>
          <w:iCs/>
          <w:sz w:val="24"/>
          <w:szCs w:val="24"/>
          <w:lang w:val="en-US"/>
        </w:rPr>
        <w:t xml:space="preserve"> </w:t>
      </w:r>
      <w:r w:rsidR="00F37B26">
        <w:rPr>
          <w:rFonts w:ascii="Times New Roman" w:hAnsi="Times New Roman"/>
          <w:bCs/>
          <w:iCs/>
          <w:sz w:val="24"/>
          <w:szCs w:val="24"/>
          <w:lang w:val="en-US"/>
        </w:rPr>
        <w:t xml:space="preserve">would like to </w:t>
      </w:r>
      <w:r w:rsidR="00B35EC3">
        <w:rPr>
          <w:rFonts w:ascii="Times New Roman" w:hAnsi="Times New Roman"/>
          <w:bCs/>
          <w:iCs/>
          <w:sz w:val="24"/>
          <w:szCs w:val="24"/>
          <w:lang w:val="en-US"/>
        </w:rPr>
        <w:t>propose as an effective and immediate measure that European policy makers can take without any significant departure from the international standards, to put in place with no delay a</w:t>
      </w:r>
      <w:r w:rsidR="00B35EC3" w:rsidRPr="00323204">
        <w:rPr>
          <w:rFonts w:ascii="Times New Roman" w:hAnsi="Times New Roman"/>
          <w:bCs/>
          <w:iCs/>
          <w:sz w:val="24"/>
          <w:szCs w:val="24"/>
          <w:lang w:val="en-US"/>
        </w:rPr>
        <w:t xml:space="preserve"> </w:t>
      </w:r>
      <w:r w:rsidR="00B35EC3" w:rsidRPr="008474EF">
        <w:rPr>
          <w:rFonts w:ascii="Times New Roman" w:hAnsi="Times New Roman"/>
          <w:bCs/>
          <w:iCs/>
          <w:sz w:val="24"/>
          <w:szCs w:val="24"/>
          <w:lang w:val="en-US"/>
        </w:rPr>
        <w:t xml:space="preserve">European </w:t>
      </w:r>
      <w:r w:rsidR="003138B8">
        <w:rPr>
          <w:rFonts w:ascii="Times New Roman" w:hAnsi="Times New Roman"/>
          <w:bCs/>
          <w:iCs/>
          <w:sz w:val="24"/>
          <w:szCs w:val="24"/>
          <w:lang w:val="en-US"/>
        </w:rPr>
        <w:t>Simplified Supervisory Formula Approach (</w:t>
      </w:r>
      <w:r w:rsidR="00B35EC3" w:rsidRPr="008474EF">
        <w:rPr>
          <w:rFonts w:ascii="Times New Roman" w:hAnsi="Times New Roman"/>
          <w:bCs/>
          <w:iCs/>
          <w:sz w:val="24"/>
          <w:szCs w:val="24"/>
          <w:lang w:val="en-US"/>
        </w:rPr>
        <w:t>SSFA</w:t>
      </w:r>
      <w:r w:rsidR="003138B8">
        <w:rPr>
          <w:rFonts w:ascii="Times New Roman" w:hAnsi="Times New Roman"/>
          <w:bCs/>
          <w:iCs/>
          <w:sz w:val="24"/>
          <w:szCs w:val="24"/>
          <w:lang w:val="en-US"/>
        </w:rPr>
        <w:t>)</w:t>
      </w:r>
      <w:r w:rsidR="006A456F">
        <w:rPr>
          <w:rStyle w:val="FootnoteReference"/>
          <w:rFonts w:ascii="Times New Roman" w:hAnsi="Times New Roman"/>
          <w:bCs/>
          <w:iCs/>
          <w:sz w:val="24"/>
          <w:szCs w:val="24"/>
          <w:lang w:val="en-US"/>
        </w:rPr>
        <w:footnoteReference w:id="8"/>
      </w:r>
      <w:r w:rsidR="00B35EC3">
        <w:rPr>
          <w:rFonts w:ascii="Times New Roman" w:hAnsi="Times New Roman"/>
          <w:bCs/>
          <w:iCs/>
          <w:sz w:val="24"/>
          <w:szCs w:val="24"/>
          <w:lang w:val="en-US"/>
        </w:rPr>
        <w:t xml:space="preserve"> </w:t>
      </w:r>
      <w:r w:rsidR="006A456F">
        <w:rPr>
          <w:rFonts w:ascii="Times New Roman" w:hAnsi="Times New Roman"/>
          <w:bCs/>
          <w:iCs/>
          <w:sz w:val="24"/>
          <w:szCs w:val="24"/>
          <w:lang w:val="en-US"/>
        </w:rPr>
        <w:t>for qualifying securitisations</w:t>
      </w:r>
      <w:r w:rsidR="00B35EC3">
        <w:rPr>
          <w:rFonts w:ascii="Times New Roman" w:hAnsi="Times New Roman"/>
          <w:bCs/>
          <w:iCs/>
          <w:sz w:val="24"/>
          <w:szCs w:val="24"/>
          <w:lang w:val="en-US"/>
        </w:rPr>
        <w:t xml:space="preserve">. </w:t>
      </w:r>
      <w:r w:rsidR="003138B8" w:rsidRPr="001C2589">
        <w:rPr>
          <w:rFonts w:ascii="Times New Roman" w:hAnsi="Times New Roman"/>
          <w:bCs/>
          <w:iCs/>
          <w:sz w:val="24"/>
          <w:szCs w:val="24"/>
          <w:lang w:val="en-US"/>
        </w:rPr>
        <w:t>The use of an European SSFA</w:t>
      </w:r>
      <w:r w:rsidR="003138B8" w:rsidRPr="001C2589">
        <w:rPr>
          <w:rFonts w:ascii="Times New Roman" w:hAnsi="Times New Roman"/>
          <w:b/>
          <w:bCs/>
          <w:iCs/>
          <w:sz w:val="24"/>
          <w:szCs w:val="24"/>
          <w:lang w:val="en-US"/>
        </w:rPr>
        <w:t xml:space="preserve"> </w:t>
      </w:r>
      <w:r w:rsidR="003138B8" w:rsidRPr="001C2589">
        <w:rPr>
          <w:rFonts w:ascii="Times New Roman" w:hAnsi="Times New Roman"/>
          <w:bCs/>
          <w:iCs/>
          <w:sz w:val="24"/>
          <w:szCs w:val="24"/>
          <w:lang w:val="en-US"/>
        </w:rPr>
        <w:t xml:space="preserve">will set a more stable and fair prudential scheme for European originated securitisations for the following reasons: </w:t>
      </w:r>
    </w:p>
    <w:p w14:paraId="29EAE0D0" w14:textId="77777777" w:rsidR="003138B8" w:rsidRDefault="003138B8" w:rsidP="003138B8">
      <w:pPr>
        <w:numPr>
          <w:ilvl w:val="1"/>
          <w:numId w:val="2"/>
        </w:numPr>
        <w:spacing w:before="120"/>
        <w:jc w:val="both"/>
        <w:rPr>
          <w:rFonts w:ascii="Times New Roman" w:hAnsi="Times New Roman"/>
          <w:bCs/>
          <w:iCs/>
          <w:sz w:val="24"/>
          <w:szCs w:val="24"/>
          <w:lang w:val="en-US"/>
        </w:rPr>
      </w:pPr>
      <w:r>
        <w:rPr>
          <w:rFonts w:ascii="Times New Roman" w:hAnsi="Times New Roman"/>
          <w:bCs/>
          <w:iCs/>
          <w:sz w:val="24"/>
          <w:szCs w:val="24"/>
          <w:lang w:val="en-US"/>
        </w:rPr>
        <w:t xml:space="preserve">It will remove the uncertainty entailed in sudden rating fluctuations; </w:t>
      </w:r>
    </w:p>
    <w:p w14:paraId="32BF452F" w14:textId="77777777" w:rsidR="003138B8" w:rsidRDefault="003138B8" w:rsidP="003138B8">
      <w:pPr>
        <w:numPr>
          <w:ilvl w:val="1"/>
          <w:numId w:val="2"/>
        </w:numPr>
        <w:spacing w:before="120"/>
        <w:jc w:val="both"/>
        <w:rPr>
          <w:rFonts w:ascii="Times New Roman" w:hAnsi="Times New Roman"/>
          <w:bCs/>
          <w:iCs/>
          <w:sz w:val="24"/>
          <w:szCs w:val="24"/>
          <w:lang w:val="en-US"/>
        </w:rPr>
      </w:pPr>
      <w:r>
        <w:rPr>
          <w:rFonts w:ascii="Times New Roman" w:hAnsi="Times New Roman"/>
          <w:bCs/>
          <w:iCs/>
          <w:sz w:val="24"/>
          <w:szCs w:val="24"/>
          <w:lang w:val="en-US"/>
        </w:rPr>
        <w:t xml:space="preserve">It will limit the pro-cyclicality associated to credit ratings; </w:t>
      </w:r>
    </w:p>
    <w:p w14:paraId="613EC1F3" w14:textId="6ECDE9B3" w:rsidR="00B35EC3" w:rsidRPr="00B35EC3" w:rsidRDefault="003138B8" w:rsidP="00860D63">
      <w:pPr>
        <w:numPr>
          <w:ilvl w:val="1"/>
          <w:numId w:val="2"/>
        </w:numPr>
        <w:spacing w:before="120"/>
        <w:jc w:val="both"/>
        <w:rPr>
          <w:rFonts w:ascii="Times New Roman" w:hAnsi="Times New Roman"/>
          <w:bCs/>
          <w:iCs/>
          <w:sz w:val="24"/>
          <w:szCs w:val="24"/>
          <w:lang w:val="en-US"/>
        </w:rPr>
      </w:pPr>
      <w:r>
        <w:rPr>
          <w:rFonts w:ascii="Times New Roman" w:hAnsi="Times New Roman"/>
          <w:bCs/>
          <w:iCs/>
          <w:sz w:val="24"/>
          <w:szCs w:val="24"/>
          <w:lang w:val="en-US"/>
        </w:rPr>
        <w:lastRenderedPageBreak/>
        <w:t>It will avoid the bias implied by the domicile effect of external ratings documented in the EBA analysis.</w:t>
      </w:r>
    </w:p>
    <w:p w14:paraId="61E0B8EF" w14:textId="232D5C24" w:rsidR="00152440" w:rsidRDefault="00152440" w:rsidP="00152440">
      <w:pPr>
        <w:numPr>
          <w:ilvl w:val="0"/>
          <w:numId w:val="2"/>
        </w:numPr>
        <w:spacing w:before="120"/>
        <w:jc w:val="both"/>
        <w:rPr>
          <w:rFonts w:ascii="Times New Roman" w:hAnsi="Times New Roman"/>
          <w:bCs/>
          <w:iCs/>
          <w:sz w:val="24"/>
          <w:szCs w:val="24"/>
          <w:lang w:val="en-US"/>
        </w:rPr>
      </w:pPr>
      <w:r>
        <w:rPr>
          <w:rFonts w:ascii="Times New Roman" w:hAnsi="Times New Roman"/>
          <w:bCs/>
          <w:iCs/>
          <w:sz w:val="24"/>
          <w:szCs w:val="24"/>
          <w:lang w:val="en-US"/>
        </w:rPr>
        <w:t xml:space="preserve">European policy makers should play a crucial role in the </w:t>
      </w:r>
      <w:r w:rsidRPr="008474EF">
        <w:rPr>
          <w:rFonts w:ascii="Times New Roman" w:hAnsi="Times New Roman"/>
          <w:bCs/>
          <w:iCs/>
          <w:sz w:val="24"/>
          <w:szCs w:val="24"/>
          <w:lang w:val="en-US"/>
        </w:rPr>
        <w:t>international debate</w:t>
      </w:r>
      <w:r>
        <w:rPr>
          <w:rFonts w:ascii="Times New Roman" w:hAnsi="Times New Roman"/>
          <w:bCs/>
          <w:iCs/>
          <w:sz w:val="24"/>
          <w:szCs w:val="24"/>
          <w:lang w:val="en-US"/>
        </w:rPr>
        <w:t xml:space="preserve"> to ensure that the European case is carefully taken into account </w:t>
      </w:r>
      <w:r w:rsidR="00FE7D0C">
        <w:rPr>
          <w:rFonts w:ascii="Times New Roman" w:hAnsi="Times New Roman"/>
          <w:bCs/>
          <w:iCs/>
          <w:sz w:val="24"/>
          <w:szCs w:val="24"/>
          <w:lang w:val="en-US"/>
        </w:rPr>
        <w:t xml:space="preserve">by the Basel Committee </w:t>
      </w:r>
      <w:r>
        <w:rPr>
          <w:rFonts w:ascii="Times New Roman" w:hAnsi="Times New Roman"/>
          <w:bCs/>
          <w:iCs/>
          <w:sz w:val="24"/>
          <w:szCs w:val="24"/>
          <w:lang w:val="en-US"/>
        </w:rPr>
        <w:t xml:space="preserve">in </w:t>
      </w:r>
      <w:r w:rsidR="00FE7D0C">
        <w:rPr>
          <w:rFonts w:ascii="Times New Roman" w:hAnsi="Times New Roman"/>
          <w:bCs/>
          <w:iCs/>
          <w:sz w:val="24"/>
          <w:szCs w:val="24"/>
          <w:lang w:val="en-US"/>
        </w:rPr>
        <w:t xml:space="preserve">the </w:t>
      </w:r>
      <w:r>
        <w:rPr>
          <w:rFonts w:ascii="Times New Roman" w:hAnsi="Times New Roman"/>
          <w:bCs/>
          <w:iCs/>
          <w:sz w:val="24"/>
          <w:szCs w:val="24"/>
          <w:lang w:val="en-US"/>
        </w:rPr>
        <w:t xml:space="preserve">design of </w:t>
      </w:r>
      <w:r w:rsidR="00FE7D0C">
        <w:rPr>
          <w:rFonts w:ascii="Times New Roman" w:hAnsi="Times New Roman"/>
          <w:bCs/>
          <w:iCs/>
          <w:sz w:val="24"/>
          <w:szCs w:val="24"/>
          <w:lang w:val="en-US"/>
        </w:rPr>
        <w:t>a</w:t>
      </w:r>
      <w:r>
        <w:rPr>
          <w:rFonts w:ascii="Times New Roman" w:hAnsi="Times New Roman"/>
          <w:bCs/>
          <w:iCs/>
          <w:sz w:val="24"/>
          <w:szCs w:val="24"/>
          <w:lang w:val="en-US"/>
        </w:rPr>
        <w:t xml:space="preserve"> prudential framework for securitisations </w:t>
      </w:r>
      <w:r w:rsidR="00FE7D0C" w:rsidRPr="00860D63">
        <w:rPr>
          <w:rFonts w:ascii="Times New Roman" w:hAnsi="Times New Roman"/>
          <w:bCs/>
          <w:iCs/>
          <w:sz w:val="24"/>
          <w:szCs w:val="24"/>
          <w:lang w:val="en-GB"/>
        </w:rPr>
        <w:t>that incorporates a preferential treatment for Simple Standard and Transparent Securitisations.</w:t>
      </w:r>
      <w:r w:rsidR="00FE7D0C">
        <w:rPr>
          <w:rFonts w:ascii="Times New Roman" w:hAnsi="Times New Roman"/>
          <w:bCs/>
          <w:iCs/>
          <w:sz w:val="24"/>
          <w:szCs w:val="24"/>
          <w:lang w:val="en-GB"/>
        </w:rPr>
        <w:t xml:space="preserve"> </w:t>
      </w:r>
    </w:p>
    <w:p w14:paraId="42A853C5" w14:textId="77777777" w:rsidR="00152440" w:rsidRDefault="00152440" w:rsidP="00152440">
      <w:pPr>
        <w:numPr>
          <w:ilvl w:val="0"/>
          <w:numId w:val="2"/>
        </w:numPr>
        <w:spacing w:before="120"/>
        <w:jc w:val="both"/>
        <w:rPr>
          <w:rFonts w:ascii="Times New Roman" w:hAnsi="Times New Roman"/>
          <w:bCs/>
          <w:iCs/>
          <w:sz w:val="24"/>
          <w:szCs w:val="24"/>
          <w:lang w:val="en-US"/>
        </w:rPr>
      </w:pPr>
      <w:r>
        <w:rPr>
          <w:rFonts w:ascii="Times New Roman" w:hAnsi="Times New Roman"/>
          <w:bCs/>
          <w:iCs/>
          <w:sz w:val="24"/>
          <w:szCs w:val="24"/>
          <w:lang w:val="en-US"/>
        </w:rPr>
        <w:t xml:space="preserve">The tradability of securitised instruments is important for the sustainability of a liquid market. For that purpose, the </w:t>
      </w:r>
      <w:r w:rsidRPr="008474EF">
        <w:rPr>
          <w:rFonts w:ascii="Times New Roman" w:hAnsi="Times New Roman"/>
          <w:bCs/>
          <w:iCs/>
          <w:sz w:val="24"/>
          <w:szCs w:val="24"/>
          <w:lang w:val="en-US"/>
        </w:rPr>
        <w:t>prudential rules of the wider scope of financial institutions</w:t>
      </w:r>
      <w:r>
        <w:rPr>
          <w:rFonts w:ascii="Times New Roman" w:hAnsi="Times New Roman"/>
          <w:bCs/>
          <w:iCs/>
          <w:sz w:val="24"/>
          <w:szCs w:val="24"/>
          <w:lang w:val="en-US"/>
        </w:rPr>
        <w:t xml:space="preserve"> should be revised including those of asset managers and insurers. </w:t>
      </w:r>
    </w:p>
    <w:p w14:paraId="1530C2ED" w14:textId="77777777" w:rsidR="00152440" w:rsidRDefault="00152440" w:rsidP="00152440">
      <w:pPr>
        <w:pStyle w:val="Heading2"/>
        <w:rPr>
          <w:lang w:val="en-US"/>
        </w:rPr>
      </w:pPr>
    </w:p>
    <w:p w14:paraId="0AB2ADC1" w14:textId="3FC5A863" w:rsidR="00152440" w:rsidRPr="005870BC" w:rsidRDefault="00152440" w:rsidP="00152440">
      <w:pPr>
        <w:pStyle w:val="Heading2"/>
        <w:rPr>
          <w:lang w:val="en-US"/>
        </w:rPr>
      </w:pPr>
      <w:r>
        <w:rPr>
          <w:lang w:val="en-US"/>
        </w:rPr>
        <w:t>EBF comments on the specific questions of the EBA Discussion Paper</w:t>
      </w:r>
      <w:r w:rsidRPr="005870BC">
        <w:rPr>
          <w:lang w:val="en-US"/>
        </w:rPr>
        <w:t xml:space="preserve"> </w:t>
      </w:r>
    </w:p>
    <w:p w14:paraId="2847FF02" w14:textId="77777777" w:rsidR="00152440" w:rsidRPr="00A72747" w:rsidRDefault="00152440" w:rsidP="00152440">
      <w:pPr>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52440" w:rsidRPr="00C75151" w14:paraId="66444BCD" w14:textId="77777777" w:rsidTr="00022249">
        <w:tc>
          <w:tcPr>
            <w:tcW w:w="9212" w:type="dxa"/>
          </w:tcPr>
          <w:p w14:paraId="6D0EA7B2" w14:textId="77777777" w:rsidR="00152440" w:rsidRPr="00A45623" w:rsidRDefault="00152440" w:rsidP="00022249">
            <w:pPr>
              <w:spacing w:before="120"/>
              <w:jc w:val="both"/>
              <w:rPr>
                <w:rFonts w:ascii="Times New Roman" w:hAnsi="Times New Roman"/>
                <w:b/>
                <w:sz w:val="24"/>
                <w:szCs w:val="24"/>
                <w:lang w:val="en-GB"/>
              </w:rPr>
            </w:pPr>
            <w:r>
              <w:rPr>
                <w:rFonts w:ascii="Times New Roman" w:hAnsi="Times New Roman"/>
                <w:b/>
                <w:sz w:val="24"/>
                <w:szCs w:val="24"/>
                <w:lang w:val="en-GB"/>
              </w:rPr>
              <w:t xml:space="preserve">Question 1: </w:t>
            </w:r>
            <w:r w:rsidRPr="00255997">
              <w:rPr>
                <w:rFonts w:ascii="Times New Roman" w:hAnsi="Times New Roman"/>
                <w:b/>
                <w:sz w:val="24"/>
                <w:szCs w:val="24"/>
                <w:lang w:val="en-GB"/>
              </w:rPr>
              <w:t>Do you agree with identified impediments to the securitisation</w:t>
            </w:r>
            <w:r>
              <w:rPr>
                <w:rFonts w:ascii="Times New Roman" w:hAnsi="Times New Roman"/>
                <w:b/>
                <w:sz w:val="24"/>
                <w:szCs w:val="24"/>
                <w:lang w:val="en-GB"/>
              </w:rPr>
              <w:t xml:space="preserve"> market</w:t>
            </w:r>
            <w:r w:rsidRPr="00A45623">
              <w:rPr>
                <w:rFonts w:ascii="Times New Roman" w:hAnsi="Times New Roman"/>
                <w:b/>
                <w:sz w:val="24"/>
                <w:szCs w:val="24"/>
                <w:lang w:val="en-GB"/>
              </w:rPr>
              <w:t xml:space="preserve">? </w:t>
            </w:r>
          </w:p>
        </w:tc>
      </w:tr>
    </w:tbl>
    <w:p w14:paraId="651CE64A" w14:textId="77777777" w:rsidR="00152440" w:rsidRPr="00A72747" w:rsidRDefault="00152440" w:rsidP="00152440">
      <w:pPr>
        <w:jc w:val="both"/>
        <w:rPr>
          <w:rFonts w:ascii="Times New Roman" w:hAnsi="Times New Roman"/>
          <w:sz w:val="24"/>
          <w:szCs w:val="24"/>
          <w:lang w:val="en-GB"/>
        </w:rPr>
      </w:pPr>
    </w:p>
    <w:p w14:paraId="20BB9786" w14:textId="77777777" w:rsidR="00152440" w:rsidRDefault="00152440" w:rsidP="00152440">
      <w:pPr>
        <w:jc w:val="both"/>
        <w:rPr>
          <w:rFonts w:ascii="Times New Roman" w:hAnsi="Times New Roman"/>
          <w:sz w:val="24"/>
          <w:szCs w:val="24"/>
          <w:lang w:val="en-GB"/>
        </w:rPr>
      </w:pPr>
      <w:r w:rsidRPr="002F6625">
        <w:rPr>
          <w:rFonts w:ascii="Times New Roman" w:hAnsi="Times New Roman"/>
          <w:sz w:val="24"/>
          <w:szCs w:val="24"/>
          <w:lang w:val="en-GB"/>
        </w:rPr>
        <w:t>From our perspective, access to securitisation markets is mainly limited by</w:t>
      </w:r>
      <w:r>
        <w:rPr>
          <w:rFonts w:ascii="Times New Roman" w:hAnsi="Times New Roman"/>
          <w:sz w:val="24"/>
          <w:szCs w:val="24"/>
          <w:lang w:val="en-GB"/>
        </w:rPr>
        <w:t xml:space="preserve">: </w:t>
      </w:r>
    </w:p>
    <w:p w14:paraId="2BCED824" w14:textId="1E34860E" w:rsidR="00076CB5" w:rsidRDefault="00076CB5" w:rsidP="00076CB5">
      <w:pPr>
        <w:numPr>
          <w:ilvl w:val="0"/>
          <w:numId w:val="13"/>
        </w:numPr>
        <w:jc w:val="both"/>
        <w:rPr>
          <w:rFonts w:ascii="Times New Roman" w:hAnsi="Times New Roman"/>
          <w:sz w:val="24"/>
          <w:szCs w:val="24"/>
          <w:lang w:val="en-GB"/>
        </w:rPr>
      </w:pPr>
      <w:r>
        <w:rPr>
          <w:rFonts w:ascii="Times New Roman" w:hAnsi="Times New Roman"/>
          <w:sz w:val="24"/>
          <w:szCs w:val="24"/>
          <w:lang w:val="en-GB"/>
        </w:rPr>
        <w:t>The</w:t>
      </w:r>
      <w:r w:rsidRPr="002F6625">
        <w:rPr>
          <w:rFonts w:ascii="Times New Roman" w:hAnsi="Times New Roman"/>
          <w:sz w:val="24"/>
          <w:szCs w:val="24"/>
          <w:lang w:val="en-GB"/>
        </w:rPr>
        <w:t xml:space="preserve"> regulatory uncertainty that affects both investors and issuers</w:t>
      </w:r>
      <w:r w:rsidRPr="002F3B9F">
        <w:rPr>
          <w:rFonts w:ascii="Times New Roman" w:hAnsi="Times New Roman"/>
          <w:sz w:val="24"/>
          <w:szCs w:val="24"/>
          <w:lang w:val="en-GB"/>
        </w:rPr>
        <w:t xml:space="preserve"> </w:t>
      </w:r>
      <w:r w:rsidR="003138B8">
        <w:rPr>
          <w:rFonts w:ascii="Times New Roman" w:hAnsi="Times New Roman"/>
          <w:sz w:val="24"/>
          <w:szCs w:val="24"/>
          <w:lang w:val="en-GB"/>
        </w:rPr>
        <w:t>as well as</w:t>
      </w:r>
      <w:r>
        <w:rPr>
          <w:rFonts w:ascii="Times New Roman" w:hAnsi="Times New Roman"/>
          <w:sz w:val="24"/>
          <w:szCs w:val="24"/>
          <w:lang w:val="en-GB"/>
        </w:rPr>
        <w:t xml:space="preserve"> the currently proposed risk weights;</w:t>
      </w:r>
    </w:p>
    <w:p w14:paraId="6EEE900E" w14:textId="1FC3066E" w:rsidR="00076CB5" w:rsidRDefault="00076CB5" w:rsidP="00076CB5">
      <w:pPr>
        <w:numPr>
          <w:ilvl w:val="0"/>
          <w:numId w:val="13"/>
        </w:numPr>
        <w:jc w:val="both"/>
        <w:rPr>
          <w:rFonts w:ascii="Times New Roman" w:hAnsi="Times New Roman"/>
          <w:sz w:val="24"/>
          <w:szCs w:val="24"/>
          <w:lang w:val="en-GB"/>
        </w:rPr>
      </w:pPr>
      <w:r>
        <w:rPr>
          <w:rFonts w:ascii="Times New Roman" w:hAnsi="Times New Roman"/>
          <w:sz w:val="24"/>
          <w:szCs w:val="24"/>
          <w:lang w:val="en-GB"/>
        </w:rPr>
        <w:t xml:space="preserve">The relevancy of the several data-requests for transparency purposes from different </w:t>
      </w:r>
      <w:r w:rsidR="003138B8">
        <w:rPr>
          <w:rFonts w:ascii="Times New Roman" w:hAnsi="Times New Roman"/>
          <w:sz w:val="24"/>
          <w:szCs w:val="24"/>
          <w:lang w:val="en-GB"/>
        </w:rPr>
        <w:t>authorities</w:t>
      </w:r>
      <w:r>
        <w:rPr>
          <w:rFonts w:ascii="Times New Roman" w:hAnsi="Times New Roman"/>
          <w:sz w:val="24"/>
          <w:szCs w:val="24"/>
          <w:lang w:val="en-GB"/>
        </w:rPr>
        <w:t xml:space="preserve"> (ECB, ESMA …) and the costs involved due to the lack of harmonisation </w:t>
      </w:r>
      <w:r w:rsidR="003138B8">
        <w:rPr>
          <w:rFonts w:ascii="Times New Roman" w:hAnsi="Times New Roman"/>
          <w:sz w:val="24"/>
          <w:szCs w:val="24"/>
          <w:lang w:val="en-GB"/>
        </w:rPr>
        <w:t xml:space="preserve">of </w:t>
      </w:r>
      <w:r>
        <w:rPr>
          <w:rFonts w:ascii="Times New Roman" w:hAnsi="Times New Roman"/>
          <w:sz w:val="24"/>
          <w:szCs w:val="24"/>
          <w:lang w:val="en-GB"/>
        </w:rPr>
        <w:t>different applicable regulations;</w:t>
      </w:r>
    </w:p>
    <w:p w14:paraId="57B0C612" w14:textId="77777777" w:rsidR="00152440" w:rsidRDefault="00152440" w:rsidP="00152440">
      <w:pPr>
        <w:numPr>
          <w:ilvl w:val="0"/>
          <w:numId w:val="13"/>
        </w:numPr>
        <w:jc w:val="both"/>
        <w:rPr>
          <w:rFonts w:ascii="Times New Roman" w:hAnsi="Times New Roman"/>
          <w:sz w:val="24"/>
          <w:szCs w:val="24"/>
          <w:lang w:val="en-GB"/>
        </w:rPr>
      </w:pPr>
      <w:r>
        <w:rPr>
          <w:rFonts w:ascii="Times New Roman" w:hAnsi="Times New Roman"/>
          <w:sz w:val="24"/>
          <w:szCs w:val="24"/>
          <w:lang w:val="en-GB"/>
        </w:rPr>
        <w:t xml:space="preserve">The </w:t>
      </w:r>
      <w:r w:rsidRPr="002F6625">
        <w:rPr>
          <w:rFonts w:ascii="Times New Roman" w:hAnsi="Times New Roman"/>
          <w:sz w:val="24"/>
          <w:szCs w:val="24"/>
          <w:lang w:val="en-GB"/>
        </w:rPr>
        <w:t xml:space="preserve">stigma </w:t>
      </w:r>
      <w:r>
        <w:rPr>
          <w:rFonts w:ascii="Times New Roman" w:hAnsi="Times New Roman"/>
          <w:sz w:val="24"/>
          <w:szCs w:val="24"/>
          <w:lang w:val="en-GB"/>
        </w:rPr>
        <w:t>created after the crisis</w:t>
      </w:r>
      <w:r w:rsidRPr="002F6625">
        <w:rPr>
          <w:rFonts w:ascii="Times New Roman" w:hAnsi="Times New Roman"/>
          <w:sz w:val="24"/>
          <w:szCs w:val="24"/>
          <w:lang w:val="en-GB"/>
        </w:rPr>
        <w:t xml:space="preserve">; </w:t>
      </w:r>
    </w:p>
    <w:p w14:paraId="33AB8AF0" w14:textId="77777777" w:rsidR="00152440" w:rsidRDefault="00152440" w:rsidP="00152440">
      <w:pPr>
        <w:numPr>
          <w:ilvl w:val="0"/>
          <w:numId w:val="13"/>
        </w:numPr>
        <w:jc w:val="both"/>
        <w:rPr>
          <w:rFonts w:ascii="Times New Roman" w:hAnsi="Times New Roman"/>
          <w:sz w:val="24"/>
          <w:szCs w:val="24"/>
          <w:lang w:val="en-GB"/>
        </w:rPr>
      </w:pPr>
      <w:r>
        <w:rPr>
          <w:rFonts w:ascii="Times New Roman" w:hAnsi="Times New Roman"/>
          <w:sz w:val="24"/>
          <w:szCs w:val="24"/>
          <w:lang w:val="en-GB"/>
        </w:rPr>
        <w:t xml:space="preserve">The </w:t>
      </w:r>
      <w:r w:rsidRPr="002F6625">
        <w:rPr>
          <w:rFonts w:ascii="Times New Roman" w:hAnsi="Times New Roman"/>
          <w:sz w:val="24"/>
          <w:szCs w:val="24"/>
          <w:lang w:val="en-GB"/>
        </w:rPr>
        <w:t>macro-economic impact over securiti</w:t>
      </w:r>
      <w:r>
        <w:rPr>
          <w:rFonts w:ascii="Times New Roman" w:hAnsi="Times New Roman"/>
          <w:sz w:val="24"/>
          <w:szCs w:val="24"/>
          <w:lang w:val="en-GB"/>
        </w:rPr>
        <w:t>s</w:t>
      </w:r>
      <w:r w:rsidRPr="002F6625">
        <w:rPr>
          <w:rFonts w:ascii="Times New Roman" w:hAnsi="Times New Roman"/>
          <w:sz w:val="24"/>
          <w:szCs w:val="24"/>
          <w:lang w:val="en-GB"/>
        </w:rPr>
        <w:t>ations in some jurisdictions, namely in countries</w:t>
      </w:r>
      <w:r>
        <w:rPr>
          <w:rFonts w:ascii="Times New Roman" w:hAnsi="Times New Roman"/>
          <w:sz w:val="24"/>
          <w:szCs w:val="24"/>
          <w:lang w:val="en-GB"/>
        </w:rPr>
        <w:t xml:space="preserve"> hit by the Euro Area sovereign predicament; </w:t>
      </w:r>
      <w:r w:rsidRPr="002F6625">
        <w:rPr>
          <w:rFonts w:ascii="Times New Roman" w:hAnsi="Times New Roman"/>
          <w:sz w:val="24"/>
          <w:szCs w:val="24"/>
          <w:lang w:val="en-GB"/>
        </w:rPr>
        <w:t xml:space="preserve"> </w:t>
      </w:r>
    </w:p>
    <w:p w14:paraId="56FDF054" w14:textId="4CE99614" w:rsidR="00152440" w:rsidRDefault="00152440" w:rsidP="00152440">
      <w:pPr>
        <w:numPr>
          <w:ilvl w:val="0"/>
          <w:numId w:val="13"/>
        </w:numPr>
        <w:jc w:val="both"/>
        <w:rPr>
          <w:rFonts w:ascii="Times New Roman" w:hAnsi="Times New Roman"/>
          <w:sz w:val="24"/>
          <w:szCs w:val="24"/>
          <w:lang w:val="en-GB"/>
        </w:rPr>
      </w:pPr>
      <w:r>
        <w:rPr>
          <w:rFonts w:ascii="Times New Roman" w:hAnsi="Times New Roman"/>
          <w:sz w:val="24"/>
          <w:szCs w:val="24"/>
          <w:lang w:val="en-GB"/>
        </w:rPr>
        <w:t xml:space="preserve">The </w:t>
      </w:r>
      <w:r w:rsidRPr="002F6625">
        <w:rPr>
          <w:rFonts w:ascii="Times New Roman" w:hAnsi="Times New Roman"/>
          <w:sz w:val="24"/>
          <w:szCs w:val="24"/>
          <w:lang w:val="en-GB"/>
        </w:rPr>
        <w:t xml:space="preserve">restrictive </w:t>
      </w:r>
      <w:r w:rsidR="005A5809">
        <w:rPr>
          <w:rFonts w:ascii="Times New Roman" w:hAnsi="Times New Roman"/>
          <w:sz w:val="24"/>
          <w:szCs w:val="24"/>
          <w:lang w:val="en-GB"/>
        </w:rPr>
        <w:t xml:space="preserve">and opaque </w:t>
      </w:r>
      <w:r w:rsidRPr="002F6625">
        <w:rPr>
          <w:rFonts w:ascii="Times New Roman" w:hAnsi="Times New Roman"/>
          <w:sz w:val="24"/>
          <w:szCs w:val="24"/>
          <w:lang w:val="en-GB"/>
        </w:rPr>
        <w:t xml:space="preserve">rating criteria and methodology used by credit rating agencies; </w:t>
      </w:r>
    </w:p>
    <w:p w14:paraId="12F6A44F" w14:textId="77777777" w:rsidR="00152440" w:rsidRDefault="00152440" w:rsidP="00152440">
      <w:pPr>
        <w:numPr>
          <w:ilvl w:val="0"/>
          <w:numId w:val="13"/>
        </w:numPr>
        <w:jc w:val="both"/>
        <w:rPr>
          <w:rFonts w:ascii="Times New Roman" w:hAnsi="Times New Roman"/>
          <w:sz w:val="24"/>
          <w:szCs w:val="24"/>
          <w:lang w:val="en-GB"/>
        </w:rPr>
      </w:pPr>
      <w:r>
        <w:rPr>
          <w:rFonts w:ascii="Times New Roman" w:hAnsi="Times New Roman"/>
          <w:sz w:val="24"/>
          <w:szCs w:val="24"/>
          <w:lang w:val="en-GB"/>
        </w:rPr>
        <w:t>The</w:t>
      </w:r>
      <w:r w:rsidRPr="002F6625">
        <w:rPr>
          <w:rFonts w:ascii="Times New Roman" w:hAnsi="Times New Roman"/>
          <w:sz w:val="24"/>
          <w:szCs w:val="24"/>
          <w:lang w:val="en-GB"/>
        </w:rPr>
        <w:t xml:space="preserve"> funding alternatives at the disposal of financial institutions; </w:t>
      </w:r>
    </w:p>
    <w:p w14:paraId="1B0A2B71" w14:textId="77777777" w:rsidR="00152440" w:rsidRDefault="00152440" w:rsidP="00152440">
      <w:pPr>
        <w:numPr>
          <w:ilvl w:val="0"/>
          <w:numId w:val="13"/>
        </w:numPr>
        <w:jc w:val="both"/>
        <w:rPr>
          <w:rFonts w:ascii="Times New Roman" w:hAnsi="Times New Roman"/>
          <w:sz w:val="24"/>
          <w:szCs w:val="24"/>
          <w:lang w:val="en-GB"/>
        </w:rPr>
      </w:pPr>
      <w:r>
        <w:rPr>
          <w:rFonts w:ascii="Times New Roman" w:hAnsi="Times New Roman"/>
          <w:sz w:val="24"/>
          <w:szCs w:val="24"/>
          <w:lang w:val="en-GB"/>
        </w:rPr>
        <w:t>The</w:t>
      </w:r>
      <w:r w:rsidRPr="002F6625">
        <w:rPr>
          <w:rFonts w:ascii="Times New Roman" w:hAnsi="Times New Roman"/>
          <w:sz w:val="24"/>
          <w:szCs w:val="24"/>
          <w:lang w:val="en-GB"/>
        </w:rPr>
        <w:t xml:space="preserve"> associated funding levels; and </w:t>
      </w:r>
    </w:p>
    <w:p w14:paraId="70313F20" w14:textId="77777777" w:rsidR="00152440" w:rsidRPr="002F6625" w:rsidRDefault="00152440" w:rsidP="00152440">
      <w:pPr>
        <w:numPr>
          <w:ilvl w:val="0"/>
          <w:numId w:val="13"/>
        </w:numPr>
        <w:jc w:val="both"/>
        <w:rPr>
          <w:rFonts w:ascii="Times New Roman" w:hAnsi="Times New Roman"/>
          <w:sz w:val="24"/>
          <w:szCs w:val="24"/>
          <w:lang w:val="en-GB"/>
        </w:rPr>
      </w:pPr>
      <w:r>
        <w:rPr>
          <w:rFonts w:ascii="Times New Roman" w:hAnsi="Times New Roman"/>
          <w:sz w:val="24"/>
          <w:szCs w:val="24"/>
          <w:lang w:val="en-GB"/>
        </w:rPr>
        <w:t>The</w:t>
      </w:r>
      <w:r w:rsidRPr="002F6625">
        <w:rPr>
          <w:rFonts w:ascii="Times New Roman" w:hAnsi="Times New Roman"/>
          <w:sz w:val="24"/>
          <w:szCs w:val="24"/>
          <w:lang w:val="en-GB"/>
        </w:rPr>
        <w:t xml:space="preserve"> transformation of the investor base of this type of instrument</w:t>
      </w:r>
      <w:r>
        <w:rPr>
          <w:rFonts w:ascii="Times New Roman" w:hAnsi="Times New Roman"/>
          <w:sz w:val="24"/>
          <w:szCs w:val="24"/>
          <w:lang w:val="en-GB"/>
        </w:rPr>
        <w:t xml:space="preserve">. </w:t>
      </w:r>
    </w:p>
    <w:p w14:paraId="2C4FADDB" w14:textId="77777777" w:rsidR="00152440" w:rsidRPr="008B5306" w:rsidRDefault="00152440" w:rsidP="00152440">
      <w:pPr>
        <w:jc w:val="both"/>
        <w:rPr>
          <w:rFonts w:ascii="Times New Roman" w:hAnsi="Times New Roman"/>
          <w:sz w:val="24"/>
          <w:szCs w:val="24"/>
          <w:lang w:val="en-GB"/>
        </w:rPr>
      </w:pPr>
      <w:r w:rsidRPr="008B5306">
        <w:rPr>
          <w:rFonts w:ascii="Times New Roman" w:hAnsi="Times New Roman"/>
          <w:sz w:val="24"/>
          <w:szCs w:val="24"/>
          <w:lang w:val="en-GB"/>
        </w:rPr>
        <w:t>We agree with the identified impediments with the following remarks</w:t>
      </w:r>
      <w:r>
        <w:rPr>
          <w:rFonts w:ascii="Times New Roman" w:hAnsi="Times New Roman"/>
          <w:sz w:val="24"/>
          <w:szCs w:val="24"/>
          <w:lang w:val="en-GB"/>
        </w:rPr>
        <w:t xml:space="preserve">:  </w:t>
      </w:r>
    </w:p>
    <w:p w14:paraId="07CD6E86" w14:textId="44AED696" w:rsidR="00152440" w:rsidRPr="008B5306" w:rsidRDefault="00152440" w:rsidP="00152440">
      <w:pPr>
        <w:numPr>
          <w:ilvl w:val="0"/>
          <w:numId w:val="14"/>
        </w:numPr>
        <w:jc w:val="both"/>
        <w:rPr>
          <w:rFonts w:ascii="Times New Roman" w:hAnsi="Times New Roman"/>
          <w:sz w:val="24"/>
          <w:szCs w:val="24"/>
          <w:lang w:val="en-GB"/>
        </w:rPr>
      </w:pPr>
      <w:r>
        <w:rPr>
          <w:rFonts w:ascii="Times New Roman" w:hAnsi="Times New Roman"/>
          <w:sz w:val="24"/>
          <w:szCs w:val="24"/>
          <w:lang w:val="en-GB"/>
        </w:rPr>
        <w:t>Firstly, regarding the e</w:t>
      </w:r>
      <w:r w:rsidRPr="008B5306">
        <w:rPr>
          <w:rFonts w:ascii="Times New Roman" w:hAnsi="Times New Roman"/>
          <w:sz w:val="24"/>
          <w:szCs w:val="24"/>
          <w:lang w:val="en-GB"/>
        </w:rPr>
        <w:t xml:space="preserve">xternal rating process the tightened rating methodologies </w:t>
      </w:r>
      <w:r>
        <w:rPr>
          <w:rFonts w:ascii="Times New Roman" w:hAnsi="Times New Roman"/>
          <w:sz w:val="24"/>
          <w:szCs w:val="24"/>
          <w:lang w:val="en-GB"/>
        </w:rPr>
        <w:t xml:space="preserve">have created </w:t>
      </w:r>
      <w:r w:rsidR="005A5809">
        <w:rPr>
          <w:rFonts w:ascii="Times New Roman" w:hAnsi="Times New Roman"/>
          <w:sz w:val="24"/>
          <w:szCs w:val="24"/>
          <w:lang w:val="en-GB"/>
        </w:rPr>
        <w:t xml:space="preserve">negative </w:t>
      </w:r>
      <w:r>
        <w:rPr>
          <w:rFonts w:ascii="Times New Roman" w:hAnsi="Times New Roman"/>
          <w:sz w:val="24"/>
          <w:szCs w:val="24"/>
          <w:lang w:val="en-GB"/>
        </w:rPr>
        <w:t>effect</w:t>
      </w:r>
      <w:r w:rsidR="005A5809">
        <w:rPr>
          <w:rFonts w:ascii="Times New Roman" w:hAnsi="Times New Roman"/>
          <w:sz w:val="24"/>
          <w:szCs w:val="24"/>
          <w:lang w:val="en-GB"/>
        </w:rPr>
        <w:t>s</w:t>
      </w:r>
      <w:r>
        <w:rPr>
          <w:rFonts w:ascii="Times New Roman" w:hAnsi="Times New Roman"/>
          <w:sz w:val="24"/>
          <w:szCs w:val="24"/>
          <w:lang w:val="en-GB"/>
        </w:rPr>
        <w:t xml:space="preserve"> through various aspects including </w:t>
      </w:r>
      <w:r w:rsidRPr="008B5306">
        <w:rPr>
          <w:rFonts w:ascii="Times New Roman" w:hAnsi="Times New Roman"/>
          <w:sz w:val="24"/>
          <w:szCs w:val="24"/>
          <w:lang w:val="en-GB"/>
        </w:rPr>
        <w:t xml:space="preserve">sovereign rating ceilings, counterparty risk criteria, </w:t>
      </w:r>
      <w:r>
        <w:rPr>
          <w:rFonts w:ascii="Times New Roman" w:hAnsi="Times New Roman"/>
          <w:sz w:val="24"/>
          <w:szCs w:val="24"/>
          <w:lang w:val="en-GB"/>
        </w:rPr>
        <w:t xml:space="preserve">or </w:t>
      </w:r>
      <w:r w:rsidRPr="008B5306">
        <w:rPr>
          <w:rFonts w:ascii="Times New Roman" w:hAnsi="Times New Roman"/>
          <w:sz w:val="24"/>
          <w:szCs w:val="24"/>
          <w:lang w:val="en-GB"/>
        </w:rPr>
        <w:t>credit enhancements required</w:t>
      </w:r>
      <w:r>
        <w:rPr>
          <w:rFonts w:ascii="Times New Roman" w:hAnsi="Times New Roman"/>
          <w:sz w:val="24"/>
          <w:szCs w:val="24"/>
          <w:lang w:val="en-GB"/>
        </w:rPr>
        <w:t xml:space="preserve">. As a result the </w:t>
      </w:r>
      <w:r w:rsidRPr="008B5306">
        <w:rPr>
          <w:rFonts w:ascii="Times New Roman" w:hAnsi="Times New Roman"/>
          <w:sz w:val="24"/>
          <w:szCs w:val="24"/>
          <w:lang w:val="en-GB"/>
        </w:rPr>
        <w:t>ability</w:t>
      </w:r>
      <w:r>
        <w:rPr>
          <w:rFonts w:ascii="Times New Roman" w:hAnsi="Times New Roman"/>
          <w:sz w:val="24"/>
          <w:szCs w:val="24"/>
          <w:lang w:val="en-GB"/>
        </w:rPr>
        <w:t xml:space="preserve"> to access the market </w:t>
      </w:r>
      <w:r w:rsidRPr="008B5306">
        <w:rPr>
          <w:rFonts w:ascii="Times New Roman" w:hAnsi="Times New Roman"/>
          <w:sz w:val="24"/>
          <w:szCs w:val="24"/>
          <w:lang w:val="en-GB"/>
        </w:rPr>
        <w:t xml:space="preserve">of originators based in </w:t>
      </w:r>
      <w:r>
        <w:rPr>
          <w:rFonts w:ascii="Times New Roman" w:hAnsi="Times New Roman"/>
          <w:sz w:val="24"/>
          <w:szCs w:val="24"/>
          <w:lang w:val="en-GB"/>
        </w:rPr>
        <w:t>harder-hit countries has been undermined</w:t>
      </w:r>
      <w:r w:rsidRPr="008B5306">
        <w:rPr>
          <w:rFonts w:ascii="Times New Roman" w:hAnsi="Times New Roman"/>
          <w:sz w:val="24"/>
          <w:szCs w:val="24"/>
          <w:lang w:val="en-GB"/>
        </w:rPr>
        <w:t>. Moreover the massive downgrading of credit institutions during the financial crisis has dramatically decreased the number of eligible counterparties. This has contributed to the contraction of market supply.</w:t>
      </w:r>
    </w:p>
    <w:p w14:paraId="6F15B47D" w14:textId="77777777" w:rsidR="00152440" w:rsidRDefault="00152440" w:rsidP="00152440">
      <w:pPr>
        <w:numPr>
          <w:ilvl w:val="0"/>
          <w:numId w:val="14"/>
        </w:numPr>
        <w:jc w:val="both"/>
        <w:rPr>
          <w:rFonts w:ascii="Times New Roman" w:hAnsi="Times New Roman"/>
          <w:sz w:val="24"/>
          <w:szCs w:val="24"/>
          <w:lang w:val="en-GB"/>
        </w:rPr>
      </w:pPr>
      <w:r>
        <w:rPr>
          <w:rFonts w:ascii="Times New Roman" w:hAnsi="Times New Roman"/>
          <w:sz w:val="24"/>
          <w:szCs w:val="24"/>
          <w:lang w:val="en-GB"/>
        </w:rPr>
        <w:lastRenderedPageBreak/>
        <w:t>Secondly, t</w:t>
      </w:r>
      <w:r w:rsidRPr="008B5306">
        <w:rPr>
          <w:rFonts w:ascii="Times New Roman" w:hAnsi="Times New Roman"/>
          <w:sz w:val="24"/>
          <w:szCs w:val="24"/>
          <w:lang w:val="en-GB"/>
        </w:rPr>
        <w:t>he wide and still ongoing reshaping of the re</w:t>
      </w:r>
      <w:r>
        <w:rPr>
          <w:rFonts w:ascii="Times New Roman" w:hAnsi="Times New Roman"/>
          <w:sz w:val="24"/>
          <w:szCs w:val="24"/>
          <w:lang w:val="en-GB"/>
        </w:rPr>
        <w:t>gulatory framework for securitis</w:t>
      </w:r>
      <w:r w:rsidRPr="008B5306">
        <w:rPr>
          <w:rFonts w:ascii="Times New Roman" w:hAnsi="Times New Roman"/>
          <w:sz w:val="24"/>
          <w:szCs w:val="24"/>
          <w:lang w:val="en-GB"/>
        </w:rPr>
        <w:t>ations generates uncertainty and concerns regarding the final treatment emerging from the process, particularly in terms of capital requirements. In addition, It is not entirely clear what level of harmoni</w:t>
      </w:r>
      <w:r>
        <w:rPr>
          <w:rFonts w:ascii="Times New Roman" w:hAnsi="Times New Roman"/>
          <w:sz w:val="24"/>
          <w:szCs w:val="24"/>
          <w:lang w:val="en-GB"/>
        </w:rPr>
        <w:t>s</w:t>
      </w:r>
      <w:r w:rsidRPr="008B5306">
        <w:rPr>
          <w:rFonts w:ascii="Times New Roman" w:hAnsi="Times New Roman"/>
          <w:sz w:val="24"/>
          <w:szCs w:val="24"/>
          <w:lang w:val="en-GB"/>
        </w:rPr>
        <w:t>ation</w:t>
      </w:r>
      <w:r>
        <w:rPr>
          <w:rFonts w:ascii="Times New Roman" w:hAnsi="Times New Roman"/>
          <w:sz w:val="24"/>
          <w:szCs w:val="24"/>
          <w:lang w:val="en-GB"/>
        </w:rPr>
        <w:t xml:space="preserve">, i.e. </w:t>
      </w:r>
      <w:r w:rsidRPr="008B5306">
        <w:rPr>
          <w:rFonts w:ascii="Times New Roman" w:hAnsi="Times New Roman"/>
          <w:sz w:val="24"/>
          <w:szCs w:val="24"/>
          <w:lang w:val="en-GB"/>
        </w:rPr>
        <w:t>EU only</w:t>
      </w:r>
      <w:r>
        <w:rPr>
          <w:rFonts w:ascii="Times New Roman" w:hAnsi="Times New Roman"/>
          <w:sz w:val="24"/>
          <w:szCs w:val="24"/>
          <w:lang w:val="en-GB"/>
        </w:rPr>
        <w:t xml:space="preserve"> or</w:t>
      </w:r>
      <w:r w:rsidRPr="008B5306">
        <w:rPr>
          <w:rFonts w:ascii="Times New Roman" w:hAnsi="Times New Roman"/>
          <w:sz w:val="24"/>
          <w:szCs w:val="24"/>
          <w:lang w:val="en-GB"/>
        </w:rPr>
        <w:t xml:space="preserve"> global</w:t>
      </w:r>
      <w:r>
        <w:rPr>
          <w:rFonts w:ascii="Times New Roman" w:hAnsi="Times New Roman"/>
          <w:sz w:val="24"/>
          <w:szCs w:val="24"/>
          <w:lang w:val="en-GB"/>
        </w:rPr>
        <w:t>,</w:t>
      </w:r>
      <w:r w:rsidRPr="008B5306">
        <w:rPr>
          <w:rFonts w:ascii="Times New Roman" w:hAnsi="Times New Roman"/>
          <w:sz w:val="24"/>
          <w:szCs w:val="24"/>
          <w:lang w:val="en-GB"/>
        </w:rPr>
        <w:t xml:space="preserve"> is being pursued and the consistency degree among different pieces of regulation. A wider regulatory coordination to reduce the uncertainty among market participants would thus be highly desirable. Finally the frequent use of rating benchmarking in regulations has had and still has dangerous pro-cyclical effects.</w:t>
      </w:r>
      <w:r>
        <w:rPr>
          <w:rFonts w:ascii="Times New Roman" w:hAnsi="Times New Roman"/>
          <w:sz w:val="24"/>
          <w:szCs w:val="24"/>
          <w:lang w:val="en-GB"/>
        </w:rPr>
        <w:t xml:space="preserve"> </w:t>
      </w:r>
    </w:p>
    <w:p w14:paraId="2EBA06E3" w14:textId="77777777" w:rsidR="00152440" w:rsidRPr="00A72747" w:rsidRDefault="00152440" w:rsidP="00152440">
      <w:pPr>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52440" w:rsidRPr="00C75151" w14:paraId="6FAFA818" w14:textId="77777777" w:rsidTr="00022249">
        <w:tc>
          <w:tcPr>
            <w:tcW w:w="9212" w:type="dxa"/>
          </w:tcPr>
          <w:p w14:paraId="31A70676" w14:textId="77777777" w:rsidR="00152440" w:rsidRPr="00A45623" w:rsidRDefault="00152440" w:rsidP="00022249">
            <w:pPr>
              <w:spacing w:before="120"/>
              <w:jc w:val="both"/>
              <w:rPr>
                <w:rFonts w:ascii="Times New Roman" w:hAnsi="Times New Roman"/>
                <w:b/>
                <w:sz w:val="24"/>
                <w:szCs w:val="24"/>
                <w:lang w:val="en-GB"/>
              </w:rPr>
            </w:pPr>
            <w:r>
              <w:rPr>
                <w:rFonts w:ascii="Times New Roman" w:hAnsi="Times New Roman"/>
                <w:b/>
                <w:sz w:val="24"/>
                <w:szCs w:val="24"/>
                <w:lang w:val="en-GB"/>
              </w:rPr>
              <w:t xml:space="preserve">Question 2: </w:t>
            </w:r>
            <w:r w:rsidRPr="00255997">
              <w:rPr>
                <w:rFonts w:ascii="Times New Roman" w:hAnsi="Times New Roman"/>
                <w:b/>
                <w:sz w:val="24"/>
                <w:szCs w:val="24"/>
                <w:lang w:val="en-GB"/>
              </w:rPr>
              <w:t>Should synthetic securitisations be excluded from the framework for simple standard and transparent securitisations? If not, under which conditions/criteria could they be considered simple standard and transparent?</w:t>
            </w:r>
            <w:r>
              <w:rPr>
                <w:rFonts w:ascii="Times New Roman" w:hAnsi="Times New Roman"/>
                <w:b/>
                <w:sz w:val="24"/>
                <w:szCs w:val="24"/>
                <w:lang w:val="en-GB"/>
              </w:rPr>
              <w:t xml:space="preserve"> </w:t>
            </w:r>
            <w:r w:rsidRPr="00A45623">
              <w:rPr>
                <w:rFonts w:ascii="Times New Roman" w:hAnsi="Times New Roman"/>
                <w:b/>
                <w:sz w:val="24"/>
                <w:szCs w:val="24"/>
                <w:lang w:val="en-GB"/>
              </w:rPr>
              <w:t xml:space="preserve"> </w:t>
            </w:r>
          </w:p>
        </w:tc>
      </w:tr>
    </w:tbl>
    <w:p w14:paraId="40D088A5" w14:textId="77777777" w:rsidR="00152440" w:rsidRPr="00A72747" w:rsidRDefault="00152440" w:rsidP="00152440">
      <w:pPr>
        <w:jc w:val="both"/>
        <w:rPr>
          <w:rFonts w:ascii="Times New Roman" w:hAnsi="Times New Roman"/>
          <w:sz w:val="24"/>
          <w:szCs w:val="24"/>
          <w:lang w:val="en-GB"/>
        </w:rPr>
      </w:pPr>
    </w:p>
    <w:p w14:paraId="1B16F963" w14:textId="77777777" w:rsidR="00152440" w:rsidRPr="000214E3" w:rsidRDefault="00152440" w:rsidP="00152440">
      <w:pPr>
        <w:jc w:val="both"/>
        <w:rPr>
          <w:rFonts w:ascii="Times New Roman" w:hAnsi="Times New Roman"/>
          <w:sz w:val="24"/>
          <w:szCs w:val="24"/>
          <w:lang w:val="en-GB"/>
        </w:rPr>
      </w:pPr>
      <w:r w:rsidRPr="000214E3">
        <w:rPr>
          <w:rFonts w:ascii="Times New Roman" w:hAnsi="Times New Roman"/>
          <w:sz w:val="24"/>
          <w:szCs w:val="24"/>
          <w:lang w:val="en-GB"/>
        </w:rPr>
        <w:t>We believe that synthetic securitisations should be allowed within the framework for simple standard and transparent securitisations</w:t>
      </w:r>
      <w:r>
        <w:rPr>
          <w:rFonts w:ascii="Times New Roman" w:hAnsi="Times New Roman"/>
          <w:sz w:val="24"/>
          <w:szCs w:val="24"/>
          <w:lang w:val="en-GB"/>
        </w:rPr>
        <w:t xml:space="preserve"> insofar as they comply with certain conditions</w:t>
      </w:r>
      <w:r w:rsidRPr="000214E3">
        <w:rPr>
          <w:rFonts w:ascii="Times New Roman" w:hAnsi="Times New Roman"/>
          <w:sz w:val="24"/>
          <w:szCs w:val="24"/>
          <w:lang w:val="en-GB"/>
        </w:rPr>
        <w:t xml:space="preserve">. </w:t>
      </w:r>
    </w:p>
    <w:p w14:paraId="26DBF3DE" w14:textId="77777777" w:rsidR="0053308D" w:rsidRPr="0053308D" w:rsidRDefault="0053308D" w:rsidP="0053308D">
      <w:pPr>
        <w:jc w:val="both"/>
        <w:rPr>
          <w:rFonts w:ascii="Times New Roman" w:hAnsi="Times New Roman"/>
          <w:sz w:val="24"/>
          <w:szCs w:val="24"/>
          <w:lang w:val="en-GB"/>
        </w:rPr>
      </w:pPr>
      <w:r w:rsidRPr="0053308D">
        <w:rPr>
          <w:rFonts w:ascii="Times New Roman" w:hAnsi="Times New Roman"/>
          <w:sz w:val="24"/>
          <w:szCs w:val="24"/>
          <w:lang w:val="en-GB"/>
        </w:rPr>
        <w:t>We believe the arguments used to exclude synthetic transactions from the scope of “simple securitisations” are questionable. In particular the EBA proposed criterion 1 for identifying a simple securitisation (p. 39) states that: “The transfer of the assets to be securitised ensures that securitisation investors have recourse to those assets should the SSPE not fulfil its payment obligations. Such recourse cannot be granted in non-traditional transactions, i.e. synthetic transactions, due to the fact that only the credit risk associated with the underlying assets, rather than the ownership of such assets, is transferred to the SSPE. In addition, most synthetic structures add to the complexity of the securitisation in terms of counterparty credit risk and risk modelling.”</w:t>
      </w:r>
    </w:p>
    <w:p w14:paraId="00B034A9" w14:textId="74D96E37" w:rsidR="0053308D" w:rsidRPr="0053308D" w:rsidRDefault="00E72294" w:rsidP="0053308D">
      <w:pPr>
        <w:jc w:val="both"/>
        <w:rPr>
          <w:rFonts w:ascii="Times New Roman" w:hAnsi="Times New Roman"/>
          <w:sz w:val="24"/>
          <w:szCs w:val="24"/>
          <w:lang w:val="en-GB"/>
        </w:rPr>
      </w:pPr>
      <w:r>
        <w:rPr>
          <w:rFonts w:ascii="Times New Roman" w:hAnsi="Times New Roman"/>
          <w:sz w:val="24"/>
          <w:szCs w:val="24"/>
          <w:lang w:val="en-GB"/>
        </w:rPr>
        <w:t>It is clear that, due to the lack of legal recourse to the securitised assets, the investor in a synthetic transaction may bear a counterparty risk that would not be borne by an investor in a traditional securitisation. Nonetheless</w:t>
      </w:r>
      <w:r w:rsidR="0053308D" w:rsidRPr="0053308D">
        <w:rPr>
          <w:rFonts w:ascii="Times New Roman" w:hAnsi="Times New Roman"/>
          <w:sz w:val="24"/>
          <w:szCs w:val="24"/>
          <w:lang w:val="en-GB"/>
        </w:rPr>
        <w:t xml:space="preserve">, counterparty risk </w:t>
      </w:r>
      <w:r>
        <w:rPr>
          <w:rFonts w:ascii="Times New Roman" w:hAnsi="Times New Roman"/>
          <w:sz w:val="24"/>
          <w:szCs w:val="24"/>
          <w:lang w:val="en-GB"/>
        </w:rPr>
        <w:t>can be</w:t>
      </w:r>
      <w:r w:rsidR="0053308D" w:rsidRPr="0053308D">
        <w:rPr>
          <w:rFonts w:ascii="Times New Roman" w:hAnsi="Times New Roman"/>
          <w:sz w:val="24"/>
          <w:szCs w:val="24"/>
          <w:lang w:val="en-GB"/>
        </w:rPr>
        <w:t xml:space="preserve"> eliminated by placing the cash invested in the transaction with a custodian that is bankruptcy remote vis-à-vis the originating bank</w:t>
      </w:r>
      <w:r>
        <w:rPr>
          <w:rStyle w:val="FootnoteReference"/>
          <w:rFonts w:ascii="Times New Roman" w:hAnsi="Times New Roman"/>
          <w:sz w:val="24"/>
          <w:szCs w:val="24"/>
          <w:lang w:val="en-GB"/>
        </w:rPr>
        <w:footnoteReference w:id="9"/>
      </w:r>
      <w:r w:rsidR="0053308D">
        <w:rPr>
          <w:rFonts w:ascii="Times New Roman" w:hAnsi="Times New Roman"/>
          <w:sz w:val="24"/>
          <w:szCs w:val="24"/>
          <w:lang w:val="en-GB"/>
        </w:rPr>
        <w:t xml:space="preserve">. </w:t>
      </w:r>
      <w:r w:rsidR="0053308D" w:rsidRPr="0053308D">
        <w:rPr>
          <w:rFonts w:ascii="Times New Roman" w:hAnsi="Times New Roman"/>
          <w:sz w:val="24"/>
          <w:szCs w:val="24"/>
          <w:lang w:val="en-GB"/>
        </w:rPr>
        <w:t xml:space="preserve"> </w:t>
      </w:r>
    </w:p>
    <w:p w14:paraId="62507A88" w14:textId="3CCFC6D0" w:rsidR="0053308D" w:rsidRPr="003917F7" w:rsidRDefault="0053308D" w:rsidP="00860D63">
      <w:pPr>
        <w:jc w:val="both"/>
        <w:rPr>
          <w:rFonts w:ascii="Times New Roman" w:hAnsi="Times New Roman"/>
          <w:sz w:val="24"/>
          <w:szCs w:val="24"/>
          <w:lang w:val="en-GB"/>
        </w:rPr>
      </w:pPr>
      <w:r w:rsidRPr="003917F7">
        <w:rPr>
          <w:rFonts w:ascii="Times New Roman" w:hAnsi="Times New Roman"/>
          <w:sz w:val="24"/>
          <w:szCs w:val="24"/>
          <w:lang w:val="en-GB"/>
        </w:rPr>
        <w:t>Synthetic securitisation</w:t>
      </w:r>
      <w:r w:rsidR="00E72294">
        <w:rPr>
          <w:rFonts w:ascii="Times New Roman" w:hAnsi="Times New Roman"/>
          <w:sz w:val="24"/>
          <w:szCs w:val="24"/>
          <w:lang w:val="en-GB"/>
        </w:rPr>
        <w:t>s</w:t>
      </w:r>
      <w:r w:rsidRPr="003917F7">
        <w:rPr>
          <w:rFonts w:ascii="Times New Roman" w:hAnsi="Times New Roman"/>
          <w:sz w:val="24"/>
          <w:szCs w:val="24"/>
          <w:lang w:val="en-GB"/>
        </w:rPr>
        <w:t xml:space="preserve"> would then need comply with the other general criteria mentioned by EBA for Simple, standard and transparent securitisation, as any other securitisation, except a few criteria which make sense only in the context of cash securitisation and are not appropriate for synthetic securitisation</w:t>
      </w:r>
      <w:r>
        <w:rPr>
          <w:rFonts w:ascii="Times New Roman" w:hAnsi="Times New Roman"/>
          <w:sz w:val="24"/>
          <w:szCs w:val="24"/>
          <w:lang w:val="en-GB"/>
        </w:rPr>
        <w:t>.</w:t>
      </w:r>
      <w:r w:rsidRPr="003917F7">
        <w:rPr>
          <w:rFonts w:ascii="Times New Roman" w:hAnsi="Times New Roman"/>
          <w:sz w:val="24"/>
          <w:szCs w:val="24"/>
          <w:lang w:val="en-GB"/>
        </w:rPr>
        <w:t xml:space="preserve"> </w:t>
      </w:r>
      <w:r>
        <w:rPr>
          <w:rFonts w:ascii="Times New Roman" w:hAnsi="Times New Roman"/>
          <w:sz w:val="24"/>
          <w:szCs w:val="24"/>
          <w:lang w:val="en-GB"/>
        </w:rPr>
        <w:t>F</w:t>
      </w:r>
      <w:r w:rsidRPr="003917F7">
        <w:rPr>
          <w:rFonts w:ascii="Times New Roman" w:hAnsi="Times New Roman"/>
          <w:sz w:val="24"/>
          <w:szCs w:val="24"/>
          <w:lang w:val="en-GB"/>
        </w:rPr>
        <w:t>or example, Criterion 1 (legal transfer of the asset), criterion 3 (true sale).</w:t>
      </w:r>
    </w:p>
    <w:p w14:paraId="4479905D" w14:textId="633F3009" w:rsidR="0053308D" w:rsidRPr="0053308D" w:rsidRDefault="0053308D" w:rsidP="003917F7">
      <w:pPr>
        <w:spacing w:before="120"/>
        <w:jc w:val="both"/>
        <w:rPr>
          <w:rFonts w:ascii="Times New Roman" w:hAnsi="Times New Roman"/>
          <w:sz w:val="24"/>
          <w:szCs w:val="24"/>
          <w:lang w:val="en-GB"/>
        </w:rPr>
      </w:pPr>
      <w:r w:rsidRPr="0053308D">
        <w:rPr>
          <w:rFonts w:ascii="Times New Roman" w:hAnsi="Times New Roman"/>
          <w:sz w:val="24"/>
          <w:szCs w:val="24"/>
          <w:lang w:val="en-GB"/>
        </w:rPr>
        <w:t xml:space="preserve">More generally, the framework should not ex ante exclude securitisation transactions which are structured to precisely transfer risk from bank’s balance sheet, thereby reducing risks for the </w:t>
      </w:r>
      <w:r w:rsidRPr="0053308D">
        <w:rPr>
          <w:rFonts w:ascii="Times New Roman" w:hAnsi="Times New Roman"/>
          <w:sz w:val="24"/>
          <w:szCs w:val="24"/>
          <w:lang w:val="en-GB"/>
        </w:rPr>
        <w:lastRenderedPageBreak/>
        <w:t>originating banks. The originator should benefit from favourable treatment when the securitisation is simple and transparent, regardless if it is a synthetic or cash securitisation.</w:t>
      </w:r>
    </w:p>
    <w:p w14:paraId="06492B65" w14:textId="0A22A369" w:rsidR="00152440" w:rsidRPr="000214E3" w:rsidRDefault="0053308D" w:rsidP="003917F7">
      <w:pPr>
        <w:jc w:val="both"/>
        <w:rPr>
          <w:rFonts w:ascii="Times New Roman" w:hAnsi="Times New Roman"/>
          <w:sz w:val="24"/>
          <w:szCs w:val="24"/>
          <w:lang w:val="en-GB"/>
        </w:rPr>
      </w:pPr>
      <w:r w:rsidRPr="0053308D">
        <w:rPr>
          <w:rFonts w:ascii="Times New Roman" w:hAnsi="Times New Roman"/>
          <w:sz w:val="24"/>
          <w:szCs w:val="24"/>
          <w:lang w:val="en-GB"/>
        </w:rPr>
        <w:t xml:space="preserve">Finally, we believe that there is a significant difference between some synthetic securitisation that have been issued in the past which incurred big losses (especially the ones with US subprime collateral and some CDO of subprimes) and the synthetic transactions which have been used for banks to manage </w:t>
      </w:r>
      <w:r w:rsidR="00F63238">
        <w:rPr>
          <w:rFonts w:ascii="Times New Roman" w:hAnsi="Times New Roman"/>
          <w:sz w:val="24"/>
          <w:szCs w:val="24"/>
          <w:lang w:val="en-GB"/>
        </w:rPr>
        <w:t xml:space="preserve">and effectively </w:t>
      </w:r>
      <w:r w:rsidRPr="0053308D">
        <w:rPr>
          <w:rFonts w:ascii="Times New Roman" w:hAnsi="Times New Roman"/>
          <w:sz w:val="24"/>
          <w:szCs w:val="24"/>
          <w:lang w:val="en-GB"/>
        </w:rPr>
        <w:t xml:space="preserve">reduce their </w:t>
      </w:r>
      <w:r w:rsidR="00F63238">
        <w:rPr>
          <w:rFonts w:ascii="Times New Roman" w:hAnsi="Times New Roman"/>
          <w:sz w:val="24"/>
          <w:szCs w:val="24"/>
          <w:lang w:val="en-GB"/>
        </w:rPr>
        <w:t xml:space="preserve">portfolio credit </w:t>
      </w:r>
      <w:r w:rsidRPr="0053308D">
        <w:rPr>
          <w:rFonts w:ascii="Times New Roman" w:hAnsi="Times New Roman"/>
          <w:sz w:val="24"/>
          <w:szCs w:val="24"/>
          <w:lang w:val="en-GB"/>
        </w:rPr>
        <w:t xml:space="preserve">risk with </w:t>
      </w:r>
      <w:r w:rsidR="00F63238">
        <w:rPr>
          <w:rFonts w:ascii="Times New Roman" w:hAnsi="Times New Roman"/>
          <w:sz w:val="24"/>
          <w:szCs w:val="24"/>
          <w:lang w:val="en-GB"/>
        </w:rPr>
        <w:t xml:space="preserve">true </w:t>
      </w:r>
      <w:r w:rsidRPr="0053308D">
        <w:rPr>
          <w:rFonts w:ascii="Times New Roman" w:hAnsi="Times New Roman"/>
          <w:sz w:val="24"/>
          <w:szCs w:val="24"/>
          <w:lang w:val="en-GB"/>
        </w:rPr>
        <w:t>risk transfer mec</w:t>
      </w:r>
      <w:r w:rsidR="00F63238">
        <w:rPr>
          <w:rFonts w:ascii="Times New Roman" w:hAnsi="Times New Roman"/>
          <w:sz w:val="24"/>
          <w:szCs w:val="24"/>
          <w:lang w:val="en-GB"/>
        </w:rPr>
        <w:t>h</w:t>
      </w:r>
      <w:r w:rsidRPr="0053308D">
        <w:rPr>
          <w:rFonts w:ascii="Times New Roman" w:hAnsi="Times New Roman"/>
          <w:sz w:val="24"/>
          <w:szCs w:val="24"/>
          <w:lang w:val="en-GB"/>
        </w:rPr>
        <w:t>anisms. The SST framework should attempt to exclude the former, and include the latter.</w:t>
      </w:r>
      <w:r>
        <w:rPr>
          <w:rFonts w:ascii="Times New Roman" w:hAnsi="Times New Roman"/>
          <w:sz w:val="24"/>
          <w:szCs w:val="24"/>
          <w:lang w:val="en-GB"/>
        </w:rPr>
        <w:t xml:space="preserve"> </w:t>
      </w:r>
    </w:p>
    <w:p w14:paraId="40127ED5" w14:textId="77777777" w:rsidR="00152440" w:rsidRDefault="00152440" w:rsidP="00152440">
      <w:pPr>
        <w:jc w:val="both"/>
        <w:rPr>
          <w:rFonts w:ascii="Times New Roman" w:hAnsi="Times New Roman"/>
          <w:sz w:val="24"/>
          <w:szCs w:val="24"/>
          <w:lang w:val="en-GB"/>
        </w:rPr>
      </w:pPr>
      <w:r>
        <w:rPr>
          <w:rFonts w:ascii="Times New Roman" w:hAnsi="Times New Roman"/>
          <w:sz w:val="24"/>
          <w:szCs w:val="24"/>
          <w:lang w:val="en-GB"/>
        </w:rPr>
        <w:t>Regarding th</w:t>
      </w:r>
      <w:r w:rsidRPr="000214E3">
        <w:rPr>
          <w:rFonts w:ascii="Times New Roman" w:hAnsi="Times New Roman"/>
          <w:sz w:val="24"/>
          <w:szCs w:val="24"/>
          <w:lang w:val="en-GB"/>
        </w:rPr>
        <w:t>e statement that synthetic structures add complexity in term</w:t>
      </w:r>
      <w:r>
        <w:rPr>
          <w:rFonts w:ascii="Times New Roman" w:hAnsi="Times New Roman"/>
          <w:sz w:val="24"/>
          <w:szCs w:val="24"/>
          <w:lang w:val="en-GB"/>
        </w:rPr>
        <w:t>s</w:t>
      </w:r>
      <w:r w:rsidRPr="000214E3">
        <w:rPr>
          <w:rFonts w:ascii="Times New Roman" w:hAnsi="Times New Roman"/>
          <w:sz w:val="24"/>
          <w:szCs w:val="24"/>
          <w:lang w:val="en-GB"/>
        </w:rPr>
        <w:t xml:space="preserve"> of risk modelling</w:t>
      </w:r>
      <w:r>
        <w:rPr>
          <w:rFonts w:ascii="Times New Roman" w:hAnsi="Times New Roman"/>
          <w:sz w:val="24"/>
          <w:szCs w:val="24"/>
          <w:lang w:val="en-GB"/>
        </w:rPr>
        <w:t xml:space="preserve"> we would like to comment on the following: </w:t>
      </w:r>
    </w:p>
    <w:p w14:paraId="2098939D" w14:textId="77777777" w:rsidR="00152440" w:rsidRDefault="00152440" w:rsidP="00152440">
      <w:pPr>
        <w:ind w:left="708"/>
        <w:jc w:val="both"/>
        <w:rPr>
          <w:rFonts w:ascii="Times New Roman" w:hAnsi="Times New Roman"/>
          <w:sz w:val="24"/>
          <w:szCs w:val="24"/>
          <w:lang w:val="en-GB"/>
        </w:rPr>
      </w:pPr>
      <w:r>
        <w:rPr>
          <w:rFonts w:ascii="Times New Roman" w:hAnsi="Times New Roman"/>
          <w:sz w:val="24"/>
          <w:szCs w:val="24"/>
          <w:lang w:val="en-GB"/>
        </w:rPr>
        <w:t xml:space="preserve">Synthetic structures </w:t>
      </w:r>
      <w:r w:rsidRPr="000214E3">
        <w:rPr>
          <w:rFonts w:ascii="Times New Roman" w:hAnsi="Times New Roman"/>
          <w:sz w:val="24"/>
          <w:szCs w:val="24"/>
          <w:lang w:val="en-GB"/>
        </w:rPr>
        <w:t>can be structured in a simple and transparent way. Indeed, synthetic securitisations are often structured in the form of “tranched cover”</w:t>
      </w:r>
      <w:r>
        <w:rPr>
          <w:rFonts w:ascii="Times New Roman" w:hAnsi="Times New Roman"/>
          <w:sz w:val="24"/>
          <w:szCs w:val="24"/>
          <w:lang w:val="en-GB"/>
        </w:rPr>
        <w:t>,</w:t>
      </w:r>
      <w:r w:rsidRPr="000214E3">
        <w:rPr>
          <w:rFonts w:ascii="Times New Roman" w:hAnsi="Times New Roman"/>
          <w:sz w:val="24"/>
          <w:szCs w:val="24"/>
          <w:lang w:val="en-GB"/>
        </w:rPr>
        <w:t xml:space="preserve"> i.e. transactions where credit protection is bought directly from investors in the form of a financial guarantee backed by cash collateral or of a personal guarantee, without issuing notes. This structure ensures some advantages and a certain degree of convenience in comparison to traditional securitisations (e</w:t>
      </w:r>
      <w:r>
        <w:rPr>
          <w:rFonts w:ascii="Times New Roman" w:hAnsi="Times New Roman"/>
          <w:sz w:val="24"/>
          <w:szCs w:val="24"/>
          <w:lang w:val="en-GB"/>
        </w:rPr>
        <w:t>.</w:t>
      </w:r>
      <w:r w:rsidRPr="000214E3">
        <w:rPr>
          <w:rFonts w:ascii="Times New Roman" w:hAnsi="Times New Roman"/>
          <w:sz w:val="24"/>
          <w:szCs w:val="24"/>
          <w:lang w:val="en-GB"/>
        </w:rPr>
        <w:t>g. no need to create a</w:t>
      </w:r>
      <w:r>
        <w:rPr>
          <w:rFonts w:ascii="Times New Roman" w:hAnsi="Times New Roman"/>
          <w:sz w:val="24"/>
          <w:szCs w:val="24"/>
          <w:lang w:val="en-GB"/>
        </w:rPr>
        <w:t>n</w:t>
      </w:r>
      <w:r w:rsidRPr="000214E3">
        <w:rPr>
          <w:rFonts w:ascii="Times New Roman" w:hAnsi="Times New Roman"/>
          <w:sz w:val="24"/>
          <w:szCs w:val="24"/>
          <w:lang w:val="en-GB"/>
        </w:rPr>
        <w:t xml:space="preserve"> SSPE, no need to sell the underlying loans</w:t>
      </w:r>
      <w:r>
        <w:rPr>
          <w:rFonts w:ascii="Times New Roman" w:hAnsi="Times New Roman"/>
          <w:sz w:val="24"/>
          <w:szCs w:val="24"/>
          <w:lang w:val="en-GB"/>
        </w:rPr>
        <w:t xml:space="preserve"> and</w:t>
      </w:r>
      <w:r w:rsidRPr="000214E3">
        <w:rPr>
          <w:rFonts w:ascii="Times New Roman" w:hAnsi="Times New Roman"/>
          <w:sz w:val="24"/>
          <w:szCs w:val="24"/>
          <w:lang w:val="en-GB"/>
        </w:rPr>
        <w:t xml:space="preserve"> no need to issue notes). Moreover tranched cover transactions are characteri</w:t>
      </w:r>
      <w:r>
        <w:rPr>
          <w:rFonts w:ascii="Times New Roman" w:hAnsi="Times New Roman"/>
          <w:sz w:val="24"/>
          <w:szCs w:val="24"/>
          <w:lang w:val="en-GB"/>
        </w:rPr>
        <w:t>s</w:t>
      </w:r>
      <w:r w:rsidRPr="000214E3">
        <w:rPr>
          <w:rFonts w:ascii="Times New Roman" w:hAnsi="Times New Roman"/>
          <w:sz w:val="24"/>
          <w:szCs w:val="24"/>
          <w:lang w:val="en-GB"/>
        </w:rPr>
        <w:t xml:space="preserve">ed by specific features that ensure maximum transparency: </w:t>
      </w:r>
    </w:p>
    <w:p w14:paraId="1863A689" w14:textId="77777777" w:rsidR="00152440" w:rsidRDefault="00152440" w:rsidP="00152440">
      <w:pPr>
        <w:numPr>
          <w:ilvl w:val="0"/>
          <w:numId w:val="6"/>
        </w:numPr>
        <w:jc w:val="both"/>
        <w:rPr>
          <w:rFonts w:ascii="Times New Roman" w:hAnsi="Times New Roman"/>
          <w:sz w:val="24"/>
          <w:szCs w:val="24"/>
          <w:lang w:val="en-GB"/>
        </w:rPr>
      </w:pPr>
      <w:r>
        <w:rPr>
          <w:rFonts w:ascii="Times New Roman" w:hAnsi="Times New Roman"/>
          <w:sz w:val="24"/>
          <w:szCs w:val="24"/>
          <w:lang w:val="en-GB"/>
        </w:rPr>
        <w:t>s</w:t>
      </w:r>
      <w:r w:rsidRPr="000214E3">
        <w:rPr>
          <w:rFonts w:ascii="Times New Roman" w:hAnsi="Times New Roman"/>
          <w:sz w:val="24"/>
          <w:szCs w:val="24"/>
          <w:lang w:val="en-GB"/>
        </w:rPr>
        <w:t xml:space="preserve">implicity of transaction documentation which may consist of one single contract constituted by no more than 20 pages; </w:t>
      </w:r>
    </w:p>
    <w:p w14:paraId="41F88799" w14:textId="77777777" w:rsidR="00152440" w:rsidRDefault="00152440" w:rsidP="00152440">
      <w:pPr>
        <w:numPr>
          <w:ilvl w:val="0"/>
          <w:numId w:val="6"/>
        </w:numPr>
        <w:jc w:val="both"/>
        <w:rPr>
          <w:rFonts w:ascii="Times New Roman" w:hAnsi="Times New Roman"/>
          <w:sz w:val="24"/>
          <w:szCs w:val="24"/>
          <w:lang w:val="en-GB"/>
        </w:rPr>
      </w:pPr>
      <w:r>
        <w:rPr>
          <w:rFonts w:ascii="Times New Roman" w:hAnsi="Times New Roman"/>
          <w:sz w:val="24"/>
          <w:szCs w:val="24"/>
          <w:lang w:val="en-GB"/>
        </w:rPr>
        <w:t>p</w:t>
      </w:r>
      <w:r w:rsidRPr="000214E3">
        <w:rPr>
          <w:rFonts w:ascii="Times New Roman" w:hAnsi="Times New Roman"/>
          <w:sz w:val="24"/>
          <w:szCs w:val="24"/>
          <w:lang w:val="en-GB"/>
        </w:rPr>
        <w:t xml:space="preserve">ossibility for the original investor to thoroughly negotiate the terms governing the credit protection instrument; </w:t>
      </w:r>
    </w:p>
    <w:p w14:paraId="7676CA67" w14:textId="77777777" w:rsidR="00152440" w:rsidRDefault="00152440" w:rsidP="00152440">
      <w:pPr>
        <w:numPr>
          <w:ilvl w:val="0"/>
          <w:numId w:val="6"/>
        </w:numPr>
        <w:jc w:val="both"/>
        <w:rPr>
          <w:rFonts w:ascii="Times New Roman" w:hAnsi="Times New Roman"/>
          <w:sz w:val="24"/>
          <w:szCs w:val="24"/>
          <w:lang w:val="en-GB"/>
        </w:rPr>
      </w:pPr>
      <w:r w:rsidRPr="000214E3">
        <w:rPr>
          <w:rFonts w:ascii="Times New Roman" w:hAnsi="Times New Roman"/>
          <w:sz w:val="24"/>
          <w:szCs w:val="24"/>
          <w:lang w:val="en-GB"/>
        </w:rPr>
        <w:t xml:space="preserve">possibility for the original investor to carry out a due diligence on the securitised assets and on the protection buyer, before entering into the transaction; </w:t>
      </w:r>
    </w:p>
    <w:p w14:paraId="463FB8BE" w14:textId="58C2D0F2" w:rsidR="00152440" w:rsidRPr="000214E3" w:rsidRDefault="00152440" w:rsidP="00152440">
      <w:pPr>
        <w:numPr>
          <w:ilvl w:val="0"/>
          <w:numId w:val="6"/>
        </w:numPr>
        <w:jc w:val="both"/>
        <w:rPr>
          <w:rFonts w:ascii="Times New Roman" w:hAnsi="Times New Roman"/>
          <w:sz w:val="24"/>
          <w:szCs w:val="24"/>
          <w:lang w:val="en-GB"/>
        </w:rPr>
      </w:pPr>
      <w:r>
        <w:rPr>
          <w:rFonts w:ascii="Times New Roman" w:hAnsi="Times New Roman"/>
          <w:sz w:val="24"/>
          <w:szCs w:val="24"/>
          <w:lang w:val="en-GB"/>
        </w:rPr>
        <w:t>a</w:t>
      </w:r>
      <w:r w:rsidRPr="000214E3">
        <w:rPr>
          <w:rFonts w:ascii="Times New Roman" w:hAnsi="Times New Roman"/>
          <w:sz w:val="24"/>
          <w:szCs w:val="24"/>
          <w:lang w:val="en-GB"/>
        </w:rPr>
        <w:t>lso due to the extension of the due diligence carried out, possibility for the original investor to price at best the insolvency risk of the protection buyer</w:t>
      </w:r>
      <w:r w:rsidR="003138B8">
        <w:rPr>
          <w:rFonts w:ascii="Times New Roman" w:hAnsi="Times New Roman"/>
          <w:sz w:val="24"/>
          <w:szCs w:val="24"/>
          <w:lang w:val="en-GB"/>
        </w:rPr>
        <w:t xml:space="preserve">, namely </w:t>
      </w:r>
      <w:r w:rsidR="003138B8" w:rsidRPr="000214E3">
        <w:rPr>
          <w:rFonts w:ascii="Times New Roman" w:hAnsi="Times New Roman"/>
          <w:sz w:val="24"/>
          <w:szCs w:val="24"/>
          <w:lang w:val="en-GB"/>
        </w:rPr>
        <w:t>due to the extension of the due diligence carried out</w:t>
      </w:r>
      <w:r w:rsidRPr="000214E3">
        <w:rPr>
          <w:rFonts w:ascii="Times New Roman" w:hAnsi="Times New Roman"/>
          <w:sz w:val="24"/>
          <w:szCs w:val="24"/>
          <w:lang w:val="en-GB"/>
        </w:rPr>
        <w:t>.</w:t>
      </w:r>
    </w:p>
    <w:p w14:paraId="159F3D73" w14:textId="6DE3BA53" w:rsidR="00152440" w:rsidRPr="000214E3" w:rsidRDefault="00152440" w:rsidP="00152440">
      <w:pPr>
        <w:jc w:val="both"/>
        <w:rPr>
          <w:rFonts w:ascii="Times New Roman" w:hAnsi="Times New Roman"/>
          <w:sz w:val="24"/>
          <w:szCs w:val="24"/>
          <w:lang w:val="en-GB"/>
        </w:rPr>
      </w:pPr>
      <w:r w:rsidRPr="000214E3">
        <w:rPr>
          <w:rFonts w:ascii="Times New Roman" w:hAnsi="Times New Roman"/>
          <w:sz w:val="24"/>
          <w:szCs w:val="24"/>
          <w:lang w:val="en-GB"/>
        </w:rPr>
        <w:t xml:space="preserve">Given all the above, we would therefore strongly support the inclusion of synthetic securitisations in the framework of “qualifying” securitisations, as long as these structures comply with the final criteria set for traditional securitisations </w:t>
      </w:r>
      <w:r w:rsidR="003138B8">
        <w:rPr>
          <w:rFonts w:ascii="Times New Roman" w:hAnsi="Times New Roman"/>
          <w:sz w:val="24"/>
          <w:szCs w:val="24"/>
          <w:lang w:val="en-GB"/>
        </w:rPr>
        <w:t>that can possibly be</w:t>
      </w:r>
      <w:r w:rsidRPr="000214E3">
        <w:rPr>
          <w:rFonts w:ascii="Times New Roman" w:hAnsi="Times New Roman"/>
          <w:sz w:val="24"/>
          <w:szCs w:val="24"/>
          <w:lang w:val="en-GB"/>
        </w:rPr>
        <w:t xml:space="preserve"> applicable to the synthetic ones as well. </w:t>
      </w:r>
    </w:p>
    <w:p w14:paraId="190511E3" w14:textId="77777777" w:rsidR="00152440" w:rsidRPr="000214E3" w:rsidRDefault="00152440" w:rsidP="00152440">
      <w:pPr>
        <w:jc w:val="both"/>
        <w:rPr>
          <w:rFonts w:ascii="Times New Roman" w:hAnsi="Times New Roman"/>
          <w:sz w:val="24"/>
          <w:szCs w:val="24"/>
          <w:lang w:val="en-GB"/>
        </w:rPr>
      </w:pPr>
      <w:r w:rsidRPr="000214E3">
        <w:rPr>
          <w:rFonts w:ascii="Times New Roman" w:hAnsi="Times New Roman"/>
          <w:sz w:val="24"/>
          <w:szCs w:val="24"/>
          <w:lang w:val="en-GB"/>
        </w:rPr>
        <w:t>If necessary an additional “simplicity” criteria could be added with regard to the specific instruments used to achieve the credit risk transfer, possibly ruling out the use of credit derivatives.</w:t>
      </w:r>
    </w:p>
    <w:p w14:paraId="728BF246" w14:textId="77777777" w:rsidR="00152440" w:rsidRPr="000214E3" w:rsidRDefault="00152440" w:rsidP="00152440">
      <w:pPr>
        <w:jc w:val="both"/>
        <w:rPr>
          <w:rFonts w:ascii="Times New Roman" w:hAnsi="Times New Roman"/>
          <w:sz w:val="24"/>
          <w:szCs w:val="24"/>
          <w:lang w:val="en-GB"/>
        </w:rPr>
      </w:pPr>
      <w:r w:rsidRPr="000214E3">
        <w:rPr>
          <w:rFonts w:ascii="Times New Roman" w:hAnsi="Times New Roman"/>
          <w:sz w:val="24"/>
          <w:szCs w:val="24"/>
          <w:lang w:val="en-GB"/>
        </w:rPr>
        <w:t xml:space="preserve">In particular we deem that - among the proposed criteria - the </w:t>
      </w:r>
      <w:r>
        <w:rPr>
          <w:rFonts w:ascii="Times New Roman" w:hAnsi="Times New Roman"/>
          <w:sz w:val="24"/>
          <w:szCs w:val="24"/>
          <w:lang w:val="en-GB"/>
        </w:rPr>
        <w:t xml:space="preserve">following ones could be </w:t>
      </w:r>
      <w:r w:rsidRPr="000214E3">
        <w:rPr>
          <w:rFonts w:ascii="Times New Roman" w:hAnsi="Times New Roman"/>
          <w:sz w:val="24"/>
          <w:szCs w:val="24"/>
          <w:lang w:val="en-GB"/>
        </w:rPr>
        <w:t xml:space="preserve">applicable </w:t>
      </w:r>
      <w:r>
        <w:rPr>
          <w:rFonts w:ascii="Times New Roman" w:hAnsi="Times New Roman"/>
          <w:sz w:val="24"/>
          <w:szCs w:val="24"/>
          <w:lang w:val="en-GB"/>
        </w:rPr>
        <w:t>to</w:t>
      </w:r>
      <w:r w:rsidRPr="000214E3">
        <w:rPr>
          <w:rFonts w:ascii="Times New Roman" w:hAnsi="Times New Roman"/>
          <w:sz w:val="24"/>
          <w:szCs w:val="24"/>
          <w:lang w:val="en-GB"/>
        </w:rPr>
        <w:t xml:space="preserve"> synthetic securitisation</w:t>
      </w:r>
      <w:r>
        <w:rPr>
          <w:rFonts w:ascii="Times New Roman" w:hAnsi="Times New Roman"/>
          <w:sz w:val="24"/>
          <w:szCs w:val="24"/>
          <w:lang w:val="en-GB"/>
        </w:rPr>
        <w:t xml:space="preserve">s: </w:t>
      </w:r>
    </w:p>
    <w:p w14:paraId="7DDA6C33" w14:textId="77777777" w:rsidR="00152440" w:rsidRPr="000214E3" w:rsidRDefault="00152440" w:rsidP="00152440">
      <w:pPr>
        <w:numPr>
          <w:ilvl w:val="0"/>
          <w:numId w:val="7"/>
        </w:numPr>
        <w:jc w:val="both"/>
        <w:rPr>
          <w:rFonts w:ascii="Times New Roman" w:hAnsi="Times New Roman"/>
          <w:sz w:val="24"/>
          <w:szCs w:val="24"/>
          <w:lang w:val="en-GB"/>
        </w:rPr>
      </w:pPr>
      <w:r w:rsidRPr="000214E3">
        <w:rPr>
          <w:rFonts w:ascii="Times New Roman" w:hAnsi="Times New Roman"/>
          <w:sz w:val="24"/>
          <w:szCs w:val="24"/>
          <w:lang w:val="en-GB"/>
        </w:rPr>
        <w:t>Pillar I</w:t>
      </w:r>
      <w:r>
        <w:rPr>
          <w:rFonts w:ascii="Times New Roman" w:hAnsi="Times New Roman"/>
          <w:sz w:val="24"/>
          <w:szCs w:val="24"/>
          <w:lang w:val="en-GB"/>
        </w:rPr>
        <w:t>:</w:t>
      </w:r>
      <w:r w:rsidRPr="000214E3">
        <w:rPr>
          <w:rFonts w:ascii="Times New Roman" w:hAnsi="Times New Roman"/>
          <w:sz w:val="24"/>
          <w:szCs w:val="24"/>
          <w:lang w:val="en-GB"/>
        </w:rPr>
        <w:t xml:space="preserve"> S</w:t>
      </w:r>
      <w:r>
        <w:rPr>
          <w:rFonts w:ascii="Times New Roman" w:hAnsi="Times New Roman"/>
          <w:sz w:val="24"/>
          <w:szCs w:val="24"/>
          <w:lang w:val="en-GB"/>
        </w:rPr>
        <w:t>imple securitisations</w:t>
      </w:r>
      <w:r w:rsidRPr="000214E3">
        <w:rPr>
          <w:rFonts w:ascii="Times New Roman" w:hAnsi="Times New Roman"/>
          <w:sz w:val="24"/>
          <w:szCs w:val="24"/>
          <w:lang w:val="en-GB"/>
        </w:rPr>
        <w:t xml:space="preserve">  </w:t>
      </w:r>
    </w:p>
    <w:p w14:paraId="3F75DBA3" w14:textId="77777777" w:rsidR="00152440" w:rsidRDefault="00152440" w:rsidP="00152440">
      <w:pPr>
        <w:numPr>
          <w:ilvl w:val="1"/>
          <w:numId w:val="7"/>
        </w:numPr>
        <w:jc w:val="both"/>
        <w:rPr>
          <w:rFonts w:ascii="Times New Roman" w:hAnsi="Times New Roman"/>
          <w:sz w:val="24"/>
          <w:szCs w:val="24"/>
          <w:lang w:val="en-GB"/>
        </w:rPr>
      </w:pPr>
      <w:r w:rsidRPr="000214E3">
        <w:rPr>
          <w:rFonts w:ascii="Times New Roman" w:hAnsi="Times New Roman"/>
          <w:sz w:val="24"/>
          <w:szCs w:val="24"/>
          <w:lang w:val="en-GB"/>
        </w:rPr>
        <w:t>The absence of an active portfolio management on a discretionary basis and/or a cherry-picking practice;</w:t>
      </w:r>
      <w:r>
        <w:rPr>
          <w:rFonts w:ascii="Times New Roman" w:hAnsi="Times New Roman"/>
          <w:sz w:val="24"/>
          <w:szCs w:val="24"/>
          <w:lang w:val="en-GB"/>
        </w:rPr>
        <w:t xml:space="preserve"> </w:t>
      </w:r>
    </w:p>
    <w:p w14:paraId="2777C07A" w14:textId="7FD21B0F" w:rsidR="00152440" w:rsidRDefault="00152440" w:rsidP="00152440">
      <w:pPr>
        <w:numPr>
          <w:ilvl w:val="1"/>
          <w:numId w:val="7"/>
        </w:numPr>
        <w:jc w:val="both"/>
        <w:rPr>
          <w:rFonts w:ascii="Times New Roman" w:hAnsi="Times New Roman"/>
          <w:sz w:val="24"/>
          <w:szCs w:val="24"/>
          <w:lang w:val="en-GB"/>
        </w:rPr>
      </w:pPr>
      <w:r w:rsidRPr="000214E3">
        <w:rPr>
          <w:rFonts w:ascii="Times New Roman" w:hAnsi="Times New Roman"/>
          <w:sz w:val="24"/>
          <w:szCs w:val="24"/>
          <w:lang w:val="en-GB"/>
        </w:rPr>
        <w:lastRenderedPageBreak/>
        <w:t>Underlying exposures homogeneous, in terms of asset type and standard obligations;</w:t>
      </w:r>
      <w:r>
        <w:rPr>
          <w:rFonts w:ascii="Times New Roman" w:hAnsi="Times New Roman"/>
          <w:sz w:val="24"/>
          <w:szCs w:val="24"/>
          <w:lang w:val="en-GB"/>
        </w:rPr>
        <w:t xml:space="preserve"> </w:t>
      </w:r>
    </w:p>
    <w:p w14:paraId="372ED35B" w14:textId="31565921" w:rsidR="00152440" w:rsidRPr="004B62DE" w:rsidRDefault="00152440" w:rsidP="004B62DE">
      <w:pPr>
        <w:numPr>
          <w:ilvl w:val="1"/>
          <w:numId w:val="7"/>
        </w:numPr>
        <w:jc w:val="both"/>
        <w:rPr>
          <w:rFonts w:ascii="Times New Roman" w:hAnsi="Times New Roman"/>
          <w:sz w:val="24"/>
          <w:szCs w:val="24"/>
          <w:lang w:val="en-GB"/>
        </w:rPr>
      </w:pPr>
      <w:r w:rsidRPr="004B62DE">
        <w:rPr>
          <w:rFonts w:ascii="Times New Roman" w:hAnsi="Times New Roman"/>
          <w:sz w:val="24"/>
          <w:szCs w:val="24"/>
          <w:lang w:val="en-GB"/>
        </w:rPr>
        <w:t>Underlying assets whose credit risk has not been affected by negative events (i.e. credit impaired borrower, delinquency, default, etc)</w:t>
      </w:r>
      <w:r w:rsidR="004B62DE">
        <w:rPr>
          <w:rFonts w:ascii="Times New Roman" w:hAnsi="Times New Roman"/>
          <w:sz w:val="24"/>
          <w:szCs w:val="24"/>
          <w:lang w:val="en-GB"/>
        </w:rPr>
        <w:t>.</w:t>
      </w:r>
      <w:r w:rsidRPr="004B62DE">
        <w:rPr>
          <w:rFonts w:ascii="Times New Roman" w:hAnsi="Times New Roman"/>
          <w:sz w:val="24"/>
          <w:szCs w:val="24"/>
          <w:lang w:val="en-GB"/>
        </w:rPr>
        <w:t xml:space="preserve"> </w:t>
      </w:r>
    </w:p>
    <w:p w14:paraId="1A6F1F7B" w14:textId="77777777" w:rsidR="00152440" w:rsidRPr="000214E3" w:rsidRDefault="00152440" w:rsidP="00152440">
      <w:pPr>
        <w:numPr>
          <w:ilvl w:val="0"/>
          <w:numId w:val="7"/>
        </w:numPr>
        <w:jc w:val="both"/>
        <w:rPr>
          <w:rFonts w:ascii="Times New Roman" w:hAnsi="Times New Roman"/>
          <w:sz w:val="24"/>
          <w:szCs w:val="24"/>
          <w:lang w:val="en-GB"/>
        </w:rPr>
      </w:pPr>
      <w:r w:rsidRPr="000214E3">
        <w:rPr>
          <w:rFonts w:ascii="Times New Roman" w:hAnsi="Times New Roman"/>
          <w:sz w:val="24"/>
          <w:szCs w:val="24"/>
          <w:lang w:val="en-GB"/>
        </w:rPr>
        <w:t>Pillar II</w:t>
      </w:r>
      <w:r>
        <w:rPr>
          <w:rFonts w:ascii="Times New Roman" w:hAnsi="Times New Roman"/>
          <w:sz w:val="24"/>
          <w:szCs w:val="24"/>
          <w:lang w:val="en-GB"/>
        </w:rPr>
        <w:t>:</w:t>
      </w:r>
      <w:r w:rsidRPr="000214E3">
        <w:rPr>
          <w:rFonts w:ascii="Times New Roman" w:hAnsi="Times New Roman"/>
          <w:sz w:val="24"/>
          <w:szCs w:val="24"/>
          <w:lang w:val="en-GB"/>
        </w:rPr>
        <w:t xml:space="preserve"> Standard securitisations </w:t>
      </w:r>
    </w:p>
    <w:p w14:paraId="341767DC" w14:textId="77777777" w:rsidR="00152440" w:rsidRDefault="00152440" w:rsidP="00152440">
      <w:pPr>
        <w:numPr>
          <w:ilvl w:val="0"/>
          <w:numId w:val="8"/>
        </w:numPr>
        <w:tabs>
          <w:tab w:val="clear" w:pos="1788"/>
          <w:tab w:val="num" w:pos="2160"/>
        </w:tabs>
        <w:ind w:left="2160"/>
        <w:jc w:val="both"/>
        <w:rPr>
          <w:rFonts w:ascii="Times New Roman" w:hAnsi="Times New Roman"/>
          <w:sz w:val="24"/>
          <w:szCs w:val="24"/>
          <w:lang w:val="en-GB"/>
        </w:rPr>
      </w:pPr>
      <w:r w:rsidRPr="000214E3">
        <w:rPr>
          <w:rFonts w:ascii="Times New Roman" w:hAnsi="Times New Roman"/>
          <w:sz w:val="24"/>
          <w:szCs w:val="24"/>
          <w:lang w:val="en-GB"/>
        </w:rPr>
        <w:t>The fulfilment of retention rule (Article 405 of the CRR) in order to ensure the alignment of the originators’</w:t>
      </w:r>
      <w:r>
        <w:rPr>
          <w:rFonts w:ascii="Times New Roman" w:hAnsi="Times New Roman"/>
          <w:sz w:val="24"/>
          <w:szCs w:val="24"/>
          <w:lang w:val="en-GB"/>
        </w:rPr>
        <w:t xml:space="preserve"> and </w:t>
      </w:r>
      <w:r w:rsidRPr="000214E3">
        <w:rPr>
          <w:rFonts w:ascii="Times New Roman" w:hAnsi="Times New Roman"/>
          <w:sz w:val="24"/>
          <w:szCs w:val="24"/>
          <w:lang w:val="en-GB"/>
        </w:rPr>
        <w:t xml:space="preserve">investors’ interests; </w:t>
      </w:r>
    </w:p>
    <w:p w14:paraId="00F822EA" w14:textId="77777777" w:rsidR="00152440" w:rsidRDefault="00152440" w:rsidP="00152440">
      <w:pPr>
        <w:numPr>
          <w:ilvl w:val="0"/>
          <w:numId w:val="8"/>
        </w:numPr>
        <w:tabs>
          <w:tab w:val="clear" w:pos="1788"/>
          <w:tab w:val="num" w:pos="2160"/>
        </w:tabs>
        <w:ind w:left="2160"/>
        <w:jc w:val="both"/>
        <w:rPr>
          <w:rFonts w:ascii="Times New Roman" w:hAnsi="Times New Roman"/>
          <w:sz w:val="24"/>
          <w:szCs w:val="24"/>
          <w:lang w:val="en-GB"/>
        </w:rPr>
      </w:pPr>
      <w:r w:rsidRPr="000214E3">
        <w:rPr>
          <w:rFonts w:ascii="Times New Roman" w:hAnsi="Times New Roman"/>
          <w:sz w:val="24"/>
          <w:szCs w:val="24"/>
          <w:lang w:val="en-GB"/>
        </w:rPr>
        <w:t>The appointment of a servicer (generally the originator bank itself) with expertise and supported by policies, procedures and risk controls well documented;</w:t>
      </w:r>
      <w:r>
        <w:rPr>
          <w:rFonts w:ascii="Times New Roman" w:hAnsi="Times New Roman"/>
          <w:sz w:val="24"/>
          <w:szCs w:val="24"/>
          <w:lang w:val="en-GB"/>
        </w:rPr>
        <w:t xml:space="preserve"> </w:t>
      </w:r>
    </w:p>
    <w:p w14:paraId="4A602321" w14:textId="37A81707" w:rsidR="00152440" w:rsidRDefault="00152440" w:rsidP="00152440">
      <w:pPr>
        <w:numPr>
          <w:ilvl w:val="0"/>
          <w:numId w:val="8"/>
        </w:numPr>
        <w:tabs>
          <w:tab w:val="clear" w:pos="1788"/>
          <w:tab w:val="num" w:pos="2160"/>
        </w:tabs>
        <w:ind w:left="2160"/>
        <w:jc w:val="both"/>
        <w:rPr>
          <w:rFonts w:ascii="Times New Roman" w:hAnsi="Times New Roman"/>
          <w:sz w:val="24"/>
          <w:szCs w:val="24"/>
          <w:lang w:val="en-GB"/>
        </w:rPr>
      </w:pPr>
      <w:r w:rsidRPr="000214E3">
        <w:rPr>
          <w:rFonts w:ascii="Times New Roman" w:hAnsi="Times New Roman"/>
          <w:sz w:val="24"/>
          <w:szCs w:val="24"/>
          <w:lang w:val="en-GB"/>
        </w:rPr>
        <w:t>The presence of a sequential amorti</w:t>
      </w:r>
      <w:r>
        <w:rPr>
          <w:rFonts w:ascii="Times New Roman" w:hAnsi="Times New Roman"/>
          <w:sz w:val="24"/>
          <w:szCs w:val="24"/>
          <w:lang w:val="en-GB"/>
        </w:rPr>
        <w:t>s</w:t>
      </w:r>
      <w:r w:rsidRPr="000214E3">
        <w:rPr>
          <w:rFonts w:ascii="Times New Roman" w:hAnsi="Times New Roman"/>
          <w:sz w:val="24"/>
          <w:szCs w:val="24"/>
          <w:lang w:val="en-GB"/>
        </w:rPr>
        <w:t>ation payment priority</w:t>
      </w:r>
      <w:r w:rsidR="0053308D">
        <w:rPr>
          <w:rFonts w:ascii="Times New Roman" w:hAnsi="Times New Roman"/>
          <w:sz w:val="24"/>
          <w:szCs w:val="24"/>
          <w:lang w:val="en-GB"/>
        </w:rPr>
        <w:t xml:space="preserve"> in case of a default</w:t>
      </w:r>
      <w:r w:rsidRPr="000214E3">
        <w:rPr>
          <w:rFonts w:ascii="Times New Roman" w:hAnsi="Times New Roman"/>
          <w:sz w:val="24"/>
          <w:szCs w:val="24"/>
          <w:lang w:val="en-GB"/>
        </w:rPr>
        <w:t>, no provisions requiring immediate liquidation of the underlying assets at market value;</w:t>
      </w:r>
      <w:r>
        <w:rPr>
          <w:rFonts w:ascii="Times New Roman" w:hAnsi="Times New Roman"/>
          <w:sz w:val="24"/>
          <w:szCs w:val="24"/>
          <w:lang w:val="en-GB"/>
        </w:rPr>
        <w:t xml:space="preserve"> </w:t>
      </w:r>
    </w:p>
    <w:p w14:paraId="653084B3" w14:textId="77777777" w:rsidR="00152440" w:rsidRDefault="00152440" w:rsidP="00152440">
      <w:pPr>
        <w:numPr>
          <w:ilvl w:val="0"/>
          <w:numId w:val="8"/>
        </w:numPr>
        <w:tabs>
          <w:tab w:val="clear" w:pos="1788"/>
          <w:tab w:val="num" w:pos="2160"/>
        </w:tabs>
        <w:ind w:left="2160"/>
        <w:jc w:val="both"/>
        <w:rPr>
          <w:rFonts w:ascii="Times New Roman" w:hAnsi="Times New Roman"/>
          <w:sz w:val="24"/>
          <w:szCs w:val="24"/>
          <w:lang w:val="en-GB"/>
        </w:rPr>
      </w:pPr>
      <w:r w:rsidRPr="000214E3">
        <w:rPr>
          <w:rFonts w:ascii="Times New Roman" w:hAnsi="Times New Roman"/>
          <w:sz w:val="24"/>
          <w:szCs w:val="24"/>
          <w:lang w:val="en-GB"/>
        </w:rPr>
        <w:t>Simple referenced interest payments under the securiti</w:t>
      </w:r>
      <w:r>
        <w:rPr>
          <w:rFonts w:ascii="Times New Roman" w:hAnsi="Times New Roman"/>
          <w:sz w:val="24"/>
          <w:szCs w:val="24"/>
          <w:lang w:val="en-GB"/>
        </w:rPr>
        <w:t>s</w:t>
      </w:r>
      <w:r w:rsidRPr="000214E3">
        <w:rPr>
          <w:rFonts w:ascii="Times New Roman" w:hAnsi="Times New Roman"/>
          <w:sz w:val="24"/>
          <w:szCs w:val="24"/>
          <w:lang w:val="en-GB"/>
        </w:rPr>
        <w:t>ation.</w:t>
      </w:r>
      <w:r>
        <w:rPr>
          <w:rFonts w:ascii="Times New Roman" w:hAnsi="Times New Roman"/>
          <w:sz w:val="24"/>
          <w:szCs w:val="24"/>
          <w:lang w:val="en-GB"/>
        </w:rPr>
        <w:t xml:space="preserve"> </w:t>
      </w:r>
    </w:p>
    <w:p w14:paraId="2045ECCF" w14:textId="77777777" w:rsidR="00152440" w:rsidRPr="000214E3" w:rsidRDefault="00152440" w:rsidP="00152440">
      <w:pPr>
        <w:numPr>
          <w:ilvl w:val="0"/>
          <w:numId w:val="7"/>
        </w:numPr>
        <w:jc w:val="both"/>
        <w:rPr>
          <w:rFonts w:ascii="Times New Roman" w:hAnsi="Times New Roman"/>
          <w:sz w:val="24"/>
          <w:szCs w:val="24"/>
          <w:lang w:val="en-GB"/>
        </w:rPr>
      </w:pPr>
      <w:r w:rsidRPr="000214E3">
        <w:rPr>
          <w:rFonts w:ascii="Times New Roman" w:hAnsi="Times New Roman"/>
          <w:sz w:val="24"/>
          <w:szCs w:val="24"/>
          <w:lang w:val="en-GB"/>
        </w:rPr>
        <w:t>Pillar I</w:t>
      </w:r>
      <w:r>
        <w:rPr>
          <w:rFonts w:ascii="Times New Roman" w:hAnsi="Times New Roman"/>
          <w:sz w:val="24"/>
          <w:szCs w:val="24"/>
          <w:lang w:val="en-GB"/>
        </w:rPr>
        <w:t>I</w:t>
      </w:r>
      <w:r w:rsidRPr="000214E3">
        <w:rPr>
          <w:rFonts w:ascii="Times New Roman" w:hAnsi="Times New Roman"/>
          <w:sz w:val="24"/>
          <w:szCs w:val="24"/>
          <w:lang w:val="en-GB"/>
        </w:rPr>
        <w:t>I</w:t>
      </w:r>
      <w:r>
        <w:rPr>
          <w:rFonts w:ascii="Times New Roman" w:hAnsi="Times New Roman"/>
          <w:sz w:val="24"/>
          <w:szCs w:val="24"/>
          <w:lang w:val="en-GB"/>
        </w:rPr>
        <w:t>:</w:t>
      </w:r>
      <w:r w:rsidRPr="000214E3">
        <w:rPr>
          <w:rFonts w:ascii="Times New Roman" w:hAnsi="Times New Roman"/>
          <w:sz w:val="24"/>
          <w:szCs w:val="24"/>
          <w:lang w:val="en-GB"/>
        </w:rPr>
        <w:t xml:space="preserve"> </w:t>
      </w:r>
      <w:r>
        <w:rPr>
          <w:rFonts w:ascii="Times New Roman" w:hAnsi="Times New Roman"/>
          <w:sz w:val="24"/>
          <w:szCs w:val="24"/>
          <w:lang w:val="en-GB"/>
        </w:rPr>
        <w:t>Transparent</w:t>
      </w:r>
      <w:r w:rsidRPr="000214E3">
        <w:rPr>
          <w:rFonts w:ascii="Times New Roman" w:hAnsi="Times New Roman"/>
          <w:sz w:val="24"/>
          <w:szCs w:val="24"/>
          <w:lang w:val="en-GB"/>
        </w:rPr>
        <w:t xml:space="preserve"> securitisations </w:t>
      </w:r>
    </w:p>
    <w:p w14:paraId="359A8815" w14:textId="77777777" w:rsidR="00152440" w:rsidRPr="000214E3" w:rsidRDefault="00152440" w:rsidP="00152440">
      <w:pPr>
        <w:numPr>
          <w:ilvl w:val="1"/>
          <w:numId w:val="9"/>
        </w:numPr>
        <w:jc w:val="both"/>
        <w:rPr>
          <w:rFonts w:ascii="Times New Roman" w:hAnsi="Times New Roman"/>
          <w:sz w:val="24"/>
          <w:szCs w:val="24"/>
          <w:lang w:val="en-GB"/>
        </w:rPr>
      </w:pPr>
      <w:r>
        <w:rPr>
          <w:rFonts w:ascii="Times New Roman" w:hAnsi="Times New Roman"/>
          <w:sz w:val="24"/>
          <w:szCs w:val="24"/>
          <w:lang w:val="en-GB"/>
        </w:rPr>
        <w:t>W</w:t>
      </w:r>
      <w:r w:rsidRPr="000214E3">
        <w:rPr>
          <w:rFonts w:ascii="Times New Roman" w:hAnsi="Times New Roman"/>
          <w:sz w:val="24"/>
          <w:szCs w:val="24"/>
          <w:lang w:val="en-GB"/>
        </w:rPr>
        <w:t xml:space="preserve">ith respect to the relevant criteria, we note that also synthetic securitisation could be considered ‘transparent’ because the originator ensures the disclosure to investors of data on underlying exposures on a loan-by-loan level as well as disclosure to investors of underlying transaction and quarterly reporting. </w:t>
      </w:r>
    </w:p>
    <w:p w14:paraId="04636107" w14:textId="77777777" w:rsidR="00152440" w:rsidRPr="000214E3" w:rsidRDefault="00152440" w:rsidP="00152440">
      <w:pPr>
        <w:numPr>
          <w:ilvl w:val="0"/>
          <w:numId w:val="10"/>
        </w:numPr>
        <w:tabs>
          <w:tab w:val="clear" w:pos="1776"/>
          <w:tab w:val="num" w:pos="1440"/>
        </w:tabs>
        <w:ind w:hanging="696"/>
        <w:jc w:val="both"/>
        <w:rPr>
          <w:rFonts w:ascii="Times New Roman" w:hAnsi="Times New Roman"/>
          <w:sz w:val="24"/>
          <w:szCs w:val="24"/>
          <w:lang w:val="en-GB"/>
        </w:rPr>
      </w:pPr>
      <w:r w:rsidRPr="000214E3">
        <w:rPr>
          <w:rFonts w:ascii="Times New Roman" w:hAnsi="Times New Roman"/>
          <w:sz w:val="24"/>
          <w:szCs w:val="24"/>
          <w:lang w:val="en-GB"/>
        </w:rPr>
        <w:t>Credit Risk Criteria: all three proposed criteria would be applicable.</w:t>
      </w:r>
    </w:p>
    <w:p w14:paraId="738E0363" w14:textId="77777777" w:rsidR="00152440" w:rsidRPr="000214E3" w:rsidRDefault="00152440" w:rsidP="00152440">
      <w:pPr>
        <w:jc w:val="both"/>
        <w:rPr>
          <w:rFonts w:ascii="Times New Roman" w:hAnsi="Times New Roman"/>
          <w:sz w:val="24"/>
          <w:szCs w:val="24"/>
          <w:lang w:val="en-GB"/>
        </w:rPr>
      </w:pPr>
      <w:r w:rsidRPr="000214E3">
        <w:rPr>
          <w:rFonts w:ascii="Times New Roman" w:hAnsi="Times New Roman"/>
          <w:sz w:val="24"/>
          <w:szCs w:val="24"/>
          <w:lang w:val="en-GB"/>
        </w:rPr>
        <w:t>In conclusion, synthetic securitisations could be structured so as to be simple and transparent transactions (such as bilateral tranched cover) allowing protection seller</w:t>
      </w:r>
      <w:r>
        <w:rPr>
          <w:rFonts w:ascii="Times New Roman" w:hAnsi="Times New Roman"/>
          <w:sz w:val="24"/>
          <w:szCs w:val="24"/>
          <w:lang w:val="en-GB"/>
        </w:rPr>
        <w:t xml:space="preserve">s and </w:t>
      </w:r>
      <w:r w:rsidRPr="000214E3">
        <w:rPr>
          <w:rFonts w:ascii="Times New Roman" w:hAnsi="Times New Roman"/>
          <w:sz w:val="24"/>
          <w:szCs w:val="24"/>
          <w:lang w:val="en-GB"/>
        </w:rPr>
        <w:t xml:space="preserve">investors involved to fully evaluate the risk </w:t>
      </w:r>
      <w:r>
        <w:rPr>
          <w:rFonts w:ascii="Times New Roman" w:hAnsi="Times New Roman"/>
          <w:sz w:val="24"/>
          <w:szCs w:val="24"/>
          <w:lang w:val="en-GB"/>
        </w:rPr>
        <w:t>they</w:t>
      </w:r>
      <w:r w:rsidRPr="000214E3">
        <w:rPr>
          <w:rFonts w:ascii="Times New Roman" w:hAnsi="Times New Roman"/>
          <w:sz w:val="24"/>
          <w:szCs w:val="24"/>
          <w:lang w:val="en-GB"/>
        </w:rPr>
        <w:t xml:space="preserve"> will undertake by underwriting the transaction. As such they should actually be encouraged, as they allow banks to better manage the risk associated with illiquid underlying assets.</w:t>
      </w:r>
    </w:p>
    <w:p w14:paraId="2A24CF7F" w14:textId="0688CC04" w:rsidR="00152440" w:rsidRDefault="00152440" w:rsidP="00152440">
      <w:pPr>
        <w:jc w:val="both"/>
        <w:rPr>
          <w:rFonts w:ascii="Times New Roman" w:hAnsi="Times New Roman"/>
          <w:sz w:val="24"/>
          <w:szCs w:val="24"/>
          <w:lang w:val="en-GB"/>
        </w:rPr>
      </w:pPr>
      <w:r w:rsidRPr="000214E3">
        <w:rPr>
          <w:rFonts w:ascii="Times New Roman" w:hAnsi="Times New Roman"/>
          <w:sz w:val="24"/>
          <w:szCs w:val="24"/>
          <w:lang w:val="en-GB"/>
        </w:rPr>
        <w:t xml:space="preserve">We would also like to draw the attention to another type of transaction that is specifically excluded from the framework but we believe should be covered by it, namely that of the </w:t>
      </w:r>
      <w:r>
        <w:rPr>
          <w:rFonts w:ascii="Times New Roman" w:hAnsi="Times New Roman"/>
          <w:sz w:val="24"/>
          <w:szCs w:val="24"/>
          <w:lang w:val="en-GB"/>
        </w:rPr>
        <w:t>Asset Backed Commercial Paper (</w:t>
      </w:r>
      <w:r w:rsidRPr="000214E3">
        <w:rPr>
          <w:rFonts w:ascii="Times New Roman" w:hAnsi="Times New Roman"/>
          <w:sz w:val="24"/>
          <w:szCs w:val="24"/>
          <w:lang w:val="en-GB"/>
        </w:rPr>
        <w:t>ABCP</w:t>
      </w:r>
      <w:r>
        <w:rPr>
          <w:rFonts w:ascii="Times New Roman" w:hAnsi="Times New Roman"/>
          <w:sz w:val="24"/>
          <w:szCs w:val="24"/>
          <w:lang w:val="en-GB"/>
        </w:rPr>
        <w:t>)</w:t>
      </w:r>
      <w:r w:rsidRPr="000214E3">
        <w:rPr>
          <w:rFonts w:ascii="Times New Roman" w:hAnsi="Times New Roman"/>
          <w:sz w:val="24"/>
          <w:szCs w:val="24"/>
          <w:lang w:val="en-GB"/>
        </w:rPr>
        <w:t xml:space="preserve">. </w:t>
      </w:r>
    </w:p>
    <w:p w14:paraId="61390F94" w14:textId="77777777" w:rsidR="00152440" w:rsidRDefault="00152440" w:rsidP="00152440">
      <w:pPr>
        <w:jc w:val="both"/>
        <w:rPr>
          <w:rFonts w:ascii="Times New Roman" w:hAnsi="Times New Roman"/>
          <w:sz w:val="24"/>
          <w:szCs w:val="24"/>
          <w:lang w:val="en-GB"/>
        </w:rPr>
      </w:pPr>
      <w:r w:rsidRPr="000214E3">
        <w:rPr>
          <w:rFonts w:ascii="Times New Roman" w:hAnsi="Times New Roman"/>
          <w:sz w:val="24"/>
          <w:szCs w:val="24"/>
          <w:lang w:val="en-GB"/>
        </w:rPr>
        <w:t>ABCPs’ historical performances demonstrate the generally high quality of the instruments, grounded also on their specific characteristics of</w:t>
      </w:r>
      <w:r>
        <w:rPr>
          <w:rFonts w:ascii="Times New Roman" w:hAnsi="Times New Roman"/>
          <w:sz w:val="24"/>
          <w:szCs w:val="24"/>
          <w:lang w:val="en-GB"/>
        </w:rPr>
        <w:t>:</w:t>
      </w:r>
      <w:r w:rsidRPr="000214E3">
        <w:rPr>
          <w:rFonts w:ascii="Times New Roman" w:hAnsi="Times New Roman"/>
          <w:sz w:val="24"/>
          <w:szCs w:val="24"/>
          <w:lang w:val="en-GB"/>
        </w:rPr>
        <w:t xml:space="preserve"> </w:t>
      </w:r>
    </w:p>
    <w:p w14:paraId="651795CD" w14:textId="77777777" w:rsidR="00152440" w:rsidRDefault="00152440" w:rsidP="00152440">
      <w:pPr>
        <w:numPr>
          <w:ilvl w:val="1"/>
          <w:numId w:val="9"/>
        </w:numPr>
        <w:tabs>
          <w:tab w:val="clear" w:pos="2148"/>
          <w:tab w:val="num" w:pos="900"/>
        </w:tabs>
        <w:ind w:left="900"/>
        <w:jc w:val="both"/>
        <w:rPr>
          <w:rFonts w:ascii="Times New Roman" w:hAnsi="Times New Roman"/>
          <w:sz w:val="24"/>
          <w:szCs w:val="24"/>
          <w:lang w:val="en-GB"/>
        </w:rPr>
      </w:pPr>
      <w:r w:rsidRPr="000214E3">
        <w:rPr>
          <w:rFonts w:ascii="Times New Roman" w:hAnsi="Times New Roman"/>
          <w:sz w:val="24"/>
          <w:szCs w:val="24"/>
          <w:lang w:val="en-GB"/>
        </w:rPr>
        <w:t xml:space="preserve">having as collateral a revolving portfolio of short term assets chosen according to strict eligibility criteria; </w:t>
      </w:r>
    </w:p>
    <w:p w14:paraId="54DACF09" w14:textId="77777777" w:rsidR="00152440" w:rsidRDefault="00152440" w:rsidP="00152440">
      <w:pPr>
        <w:numPr>
          <w:ilvl w:val="1"/>
          <w:numId w:val="9"/>
        </w:numPr>
        <w:tabs>
          <w:tab w:val="clear" w:pos="2148"/>
          <w:tab w:val="num" w:pos="900"/>
        </w:tabs>
        <w:ind w:left="900"/>
        <w:jc w:val="both"/>
        <w:rPr>
          <w:rFonts w:ascii="Times New Roman" w:hAnsi="Times New Roman"/>
          <w:sz w:val="24"/>
          <w:szCs w:val="24"/>
          <w:lang w:val="en-GB"/>
        </w:rPr>
      </w:pPr>
      <w:r w:rsidRPr="000214E3">
        <w:rPr>
          <w:rFonts w:ascii="Times New Roman" w:hAnsi="Times New Roman"/>
          <w:sz w:val="24"/>
          <w:szCs w:val="24"/>
          <w:lang w:val="en-GB"/>
        </w:rPr>
        <w:t>generally featuring a significant over</w:t>
      </w:r>
      <w:r>
        <w:rPr>
          <w:rFonts w:ascii="Times New Roman" w:hAnsi="Times New Roman"/>
          <w:sz w:val="24"/>
          <w:szCs w:val="24"/>
          <w:lang w:val="en-GB"/>
        </w:rPr>
        <w:t>-</w:t>
      </w:r>
      <w:r w:rsidRPr="000214E3">
        <w:rPr>
          <w:rFonts w:ascii="Times New Roman" w:hAnsi="Times New Roman"/>
          <w:sz w:val="24"/>
          <w:szCs w:val="24"/>
          <w:lang w:val="en-GB"/>
        </w:rPr>
        <w:t>collaterali</w:t>
      </w:r>
      <w:r>
        <w:rPr>
          <w:rFonts w:ascii="Times New Roman" w:hAnsi="Times New Roman"/>
          <w:sz w:val="24"/>
          <w:szCs w:val="24"/>
          <w:lang w:val="en-GB"/>
        </w:rPr>
        <w:t>s</w:t>
      </w:r>
      <w:r w:rsidRPr="000214E3">
        <w:rPr>
          <w:rFonts w:ascii="Times New Roman" w:hAnsi="Times New Roman"/>
          <w:sz w:val="24"/>
          <w:szCs w:val="24"/>
          <w:lang w:val="en-GB"/>
        </w:rPr>
        <w:t xml:space="preserve">ation and the originator’s retention of a dynamically adjusted first loss tranche and </w:t>
      </w:r>
    </w:p>
    <w:p w14:paraId="694565E2" w14:textId="77777777" w:rsidR="00152440" w:rsidRPr="000214E3" w:rsidRDefault="00152440" w:rsidP="00152440">
      <w:pPr>
        <w:numPr>
          <w:ilvl w:val="1"/>
          <w:numId w:val="9"/>
        </w:numPr>
        <w:tabs>
          <w:tab w:val="clear" w:pos="2148"/>
          <w:tab w:val="num" w:pos="900"/>
        </w:tabs>
        <w:ind w:left="900"/>
        <w:jc w:val="both"/>
        <w:rPr>
          <w:rFonts w:ascii="Times New Roman" w:hAnsi="Times New Roman"/>
          <w:sz w:val="24"/>
          <w:szCs w:val="24"/>
          <w:lang w:val="en-GB"/>
        </w:rPr>
      </w:pPr>
      <w:r w:rsidRPr="000214E3">
        <w:rPr>
          <w:rFonts w:ascii="Times New Roman" w:hAnsi="Times New Roman"/>
          <w:sz w:val="24"/>
          <w:szCs w:val="24"/>
          <w:lang w:val="en-GB"/>
        </w:rPr>
        <w:t>taking care of risks different from those related to the underlying portfolio (such as the seller’s risks of dilution</w:t>
      </w:r>
      <w:r>
        <w:rPr>
          <w:rFonts w:ascii="Times New Roman" w:hAnsi="Times New Roman"/>
          <w:sz w:val="24"/>
          <w:szCs w:val="24"/>
          <w:lang w:val="en-GB"/>
        </w:rPr>
        <w:t>)</w:t>
      </w:r>
      <w:r w:rsidRPr="000214E3">
        <w:rPr>
          <w:rFonts w:ascii="Times New Roman" w:hAnsi="Times New Roman"/>
          <w:sz w:val="24"/>
          <w:szCs w:val="24"/>
          <w:lang w:val="en-GB"/>
        </w:rPr>
        <w:t xml:space="preserve"> through consolidated practices.</w:t>
      </w:r>
    </w:p>
    <w:p w14:paraId="2662723C" w14:textId="5FB19B70" w:rsidR="00152440" w:rsidRDefault="00152440" w:rsidP="00152440">
      <w:pPr>
        <w:jc w:val="both"/>
        <w:rPr>
          <w:rFonts w:ascii="Times New Roman" w:hAnsi="Times New Roman"/>
          <w:sz w:val="24"/>
          <w:szCs w:val="24"/>
          <w:lang w:val="en-GB"/>
        </w:rPr>
      </w:pPr>
      <w:r w:rsidRPr="000214E3">
        <w:rPr>
          <w:rFonts w:ascii="Times New Roman" w:hAnsi="Times New Roman"/>
          <w:sz w:val="24"/>
          <w:szCs w:val="24"/>
          <w:lang w:val="en-GB"/>
        </w:rPr>
        <w:lastRenderedPageBreak/>
        <w:t>This type of transactions shouldn’t be ruled out a priori, but simply structured so as to comply with the various criteria pro</w:t>
      </w:r>
      <w:r>
        <w:rPr>
          <w:rFonts w:ascii="Times New Roman" w:hAnsi="Times New Roman"/>
          <w:sz w:val="24"/>
          <w:szCs w:val="24"/>
          <w:lang w:val="en-GB"/>
        </w:rPr>
        <w:t>posed for simplicity, standardis</w:t>
      </w:r>
      <w:r w:rsidRPr="000214E3">
        <w:rPr>
          <w:rFonts w:ascii="Times New Roman" w:hAnsi="Times New Roman"/>
          <w:sz w:val="24"/>
          <w:szCs w:val="24"/>
          <w:lang w:val="en-GB"/>
        </w:rPr>
        <w:t>ation, transparency and credit risk.</w:t>
      </w:r>
      <w:r w:rsidR="004B62DE">
        <w:rPr>
          <w:rFonts w:ascii="Times New Roman" w:hAnsi="Times New Roman"/>
          <w:sz w:val="24"/>
          <w:szCs w:val="24"/>
          <w:lang w:val="en-GB"/>
        </w:rPr>
        <w:t xml:space="preserve"> </w:t>
      </w:r>
    </w:p>
    <w:p w14:paraId="3FE8C3F0" w14:textId="3B64C343" w:rsidR="004B62DE" w:rsidRPr="000214E3" w:rsidRDefault="00B81F58" w:rsidP="00B81F58">
      <w:pPr>
        <w:jc w:val="both"/>
        <w:rPr>
          <w:rFonts w:ascii="Times New Roman" w:hAnsi="Times New Roman"/>
          <w:sz w:val="24"/>
          <w:szCs w:val="24"/>
          <w:lang w:val="en-GB"/>
        </w:rPr>
      </w:pPr>
      <w:r>
        <w:rPr>
          <w:rFonts w:ascii="Times New Roman" w:hAnsi="Times New Roman"/>
          <w:sz w:val="24"/>
          <w:szCs w:val="24"/>
          <w:lang w:val="en-GB"/>
        </w:rPr>
        <w:t xml:space="preserve">For further comments on ABCP please see Annex 1 at the end of this document. </w:t>
      </w:r>
    </w:p>
    <w:p w14:paraId="29C52730" w14:textId="77777777" w:rsidR="00152440" w:rsidRPr="00A72747" w:rsidRDefault="00152440" w:rsidP="00152440">
      <w:pPr>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52440" w:rsidRPr="00C75151" w14:paraId="5BAF6973" w14:textId="77777777" w:rsidTr="00022249">
        <w:tc>
          <w:tcPr>
            <w:tcW w:w="9212" w:type="dxa"/>
          </w:tcPr>
          <w:p w14:paraId="0B7D298B" w14:textId="77777777" w:rsidR="00152440" w:rsidRPr="00A45623" w:rsidRDefault="00152440" w:rsidP="00022249">
            <w:pPr>
              <w:spacing w:before="120"/>
              <w:jc w:val="both"/>
              <w:rPr>
                <w:rFonts w:ascii="Times New Roman" w:hAnsi="Times New Roman"/>
                <w:b/>
                <w:sz w:val="24"/>
                <w:szCs w:val="24"/>
                <w:lang w:val="en-GB"/>
              </w:rPr>
            </w:pPr>
            <w:r>
              <w:rPr>
                <w:rFonts w:ascii="Times New Roman" w:hAnsi="Times New Roman"/>
                <w:b/>
                <w:sz w:val="24"/>
                <w:szCs w:val="24"/>
                <w:lang w:val="en-GB"/>
              </w:rPr>
              <w:t xml:space="preserve">Question 3: </w:t>
            </w:r>
            <w:r w:rsidRPr="00255997">
              <w:rPr>
                <w:rFonts w:ascii="Times New Roman" w:hAnsi="Times New Roman"/>
                <w:b/>
                <w:sz w:val="24"/>
                <w:szCs w:val="24"/>
                <w:lang w:val="en-GB"/>
              </w:rPr>
              <w:t>Do you believe the default definition proposed under Criterion 5 (ii) above is appropriate? Would the default definition as per Article 178 of the CRR be more appropriate?</w:t>
            </w:r>
            <w:r>
              <w:rPr>
                <w:rFonts w:ascii="Times New Roman" w:hAnsi="Times New Roman"/>
                <w:b/>
                <w:sz w:val="24"/>
                <w:szCs w:val="24"/>
                <w:lang w:val="en-GB"/>
              </w:rPr>
              <w:t xml:space="preserve"> </w:t>
            </w:r>
            <w:r w:rsidRPr="00A45623">
              <w:rPr>
                <w:rFonts w:ascii="Times New Roman" w:hAnsi="Times New Roman"/>
                <w:b/>
                <w:sz w:val="24"/>
                <w:szCs w:val="24"/>
                <w:lang w:val="en-GB"/>
              </w:rPr>
              <w:t xml:space="preserve"> </w:t>
            </w:r>
          </w:p>
        </w:tc>
      </w:tr>
    </w:tbl>
    <w:p w14:paraId="736D4434" w14:textId="77777777" w:rsidR="00152440" w:rsidRPr="00A72747" w:rsidRDefault="00152440" w:rsidP="00152440">
      <w:pPr>
        <w:jc w:val="both"/>
        <w:rPr>
          <w:rFonts w:ascii="Times New Roman" w:hAnsi="Times New Roman"/>
          <w:sz w:val="24"/>
          <w:szCs w:val="24"/>
          <w:lang w:val="en-GB"/>
        </w:rPr>
      </w:pPr>
    </w:p>
    <w:p w14:paraId="6248875E" w14:textId="77777777" w:rsidR="0053308D" w:rsidRDefault="00152440" w:rsidP="00152440">
      <w:pPr>
        <w:jc w:val="both"/>
        <w:rPr>
          <w:rFonts w:ascii="Times New Roman" w:hAnsi="Times New Roman"/>
          <w:sz w:val="24"/>
          <w:szCs w:val="24"/>
          <w:lang w:val="en-GB"/>
        </w:rPr>
      </w:pPr>
      <w:r>
        <w:rPr>
          <w:rFonts w:ascii="Times New Roman" w:hAnsi="Times New Roman"/>
          <w:sz w:val="24"/>
          <w:szCs w:val="24"/>
          <w:lang w:val="en-GB"/>
        </w:rPr>
        <w:t xml:space="preserve">The CRR is the framework for capital requirements in the EU and it should be generally respected. Article 178 of CRR foresees a series of conditions and caveats for the consideration of default of an obligor that we believe to be </w:t>
      </w:r>
      <w:r w:rsidRPr="009F3590">
        <w:rPr>
          <w:rFonts w:ascii="Times New Roman" w:hAnsi="Times New Roman"/>
          <w:sz w:val="24"/>
          <w:szCs w:val="24"/>
          <w:lang w:val="en-GB"/>
        </w:rPr>
        <w:t>more appropriate</w:t>
      </w:r>
      <w:r>
        <w:rPr>
          <w:rFonts w:ascii="Times New Roman" w:hAnsi="Times New Roman"/>
          <w:sz w:val="24"/>
          <w:szCs w:val="24"/>
          <w:lang w:val="en-GB"/>
        </w:rPr>
        <w:t xml:space="preserve"> as it takes care of the specific repayment features of certain asset classes like</w:t>
      </w:r>
      <w:r w:rsidRPr="009F3590">
        <w:rPr>
          <w:rFonts w:ascii="Times New Roman" w:hAnsi="Times New Roman"/>
          <w:sz w:val="24"/>
          <w:szCs w:val="24"/>
          <w:lang w:val="en-GB"/>
        </w:rPr>
        <w:t xml:space="preserve"> exposures secured by residential or SME commercial real estate in the retail exposure class, as well as exposures to public sector entities</w:t>
      </w:r>
      <w:r>
        <w:rPr>
          <w:rFonts w:ascii="Times New Roman" w:hAnsi="Times New Roman"/>
          <w:sz w:val="24"/>
          <w:szCs w:val="24"/>
          <w:lang w:val="en-GB"/>
        </w:rPr>
        <w:t xml:space="preserve">. </w:t>
      </w:r>
    </w:p>
    <w:p w14:paraId="7A992EDD" w14:textId="77777777" w:rsidR="00A748EF" w:rsidRDefault="0053308D" w:rsidP="00152440">
      <w:pPr>
        <w:jc w:val="both"/>
        <w:rPr>
          <w:rFonts w:ascii="Times New Roman" w:hAnsi="Times New Roman"/>
          <w:sz w:val="24"/>
          <w:szCs w:val="24"/>
          <w:lang w:val="en-GB"/>
        </w:rPr>
      </w:pPr>
      <w:r w:rsidRPr="0053308D">
        <w:rPr>
          <w:rFonts w:ascii="Times New Roman" w:hAnsi="Times New Roman"/>
          <w:sz w:val="24"/>
          <w:szCs w:val="24"/>
          <w:lang w:val="en-GB"/>
        </w:rPr>
        <w:t>In most securitisation transactions, the eligibility criteria exclude receivables with missed payments. However, we believe the default definition in article 178 of the CRR should be retained: If the regulators in a given jurisdiction have decided to use 180 days past-due for certain asset classes, there is no reason why another definition should be used. The default criteria to define Simple standard and Transparent Securitisation should be consistent with the practice of CRR. The case of Public Sector is a good example.</w:t>
      </w:r>
      <w:r>
        <w:rPr>
          <w:rFonts w:ascii="Times New Roman" w:hAnsi="Times New Roman"/>
          <w:sz w:val="24"/>
          <w:szCs w:val="24"/>
          <w:lang w:val="en-GB"/>
        </w:rPr>
        <w:t xml:space="preserve"> </w:t>
      </w:r>
    </w:p>
    <w:p w14:paraId="45D6EBF9" w14:textId="4AE706CD" w:rsidR="00A748EF" w:rsidRPr="001528B3" w:rsidRDefault="003138B8" w:rsidP="00A748EF">
      <w:pPr>
        <w:jc w:val="both"/>
        <w:rPr>
          <w:rFonts w:ascii="Times New Roman" w:hAnsi="Times New Roman"/>
          <w:sz w:val="24"/>
          <w:szCs w:val="24"/>
          <w:lang w:val="en-GB"/>
        </w:rPr>
      </w:pPr>
      <w:r>
        <w:rPr>
          <w:rFonts w:ascii="Times New Roman" w:hAnsi="Times New Roman"/>
          <w:sz w:val="24"/>
          <w:szCs w:val="24"/>
          <w:lang w:val="en-GB"/>
        </w:rPr>
        <w:t>D</w:t>
      </w:r>
      <w:r w:rsidR="00A748EF" w:rsidRPr="001528B3">
        <w:rPr>
          <w:rFonts w:ascii="Times New Roman" w:hAnsi="Times New Roman"/>
          <w:sz w:val="24"/>
          <w:szCs w:val="24"/>
          <w:lang w:val="en-GB"/>
        </w:rPr>
        <w:t xml:space="preserve">elinquencies and defaults which are clearly fully funded by the originator </w:t>
      </w:r>
      <w:r w:rsidR="00A748EF">
        <w:rPr>
          <w:rFonts w:ascii="Times New Roman" w:hAnsi="Times New Roman"/>
          <w:sz w:val="24"/>
          <w:szCs w:val="24"/>
          <w:lang w:val="en-GB"/>
        </w:rPr>
        <w:t xml:space="preserve">(this is often the case for trade receivables) </w:t>
      </w:r>
      <w:r w:rsidR="00A748EF" w:rsidRPr="001528B3">
        <w:rPr>
          <w:rFonts w:ascii="Times New Roman" w:hAnsi="Times New Roman"/>
          <w:sz w:val="24"/>
          <w:szCs w:val="24"/>
          <w:lang w:val="en-GB"/>
        </w:rPr>
        <w:t>should not be excluded from the underlying exposures of SST.</w:t>
      </w:r>
    </w:p>
    <w:p w14:paraId="41DE8084" w14:textId="42F0AF9F" w:rsidR="00152440" w:rsidRDefault="00A748EF" w:rsidP="00A748EF">
      <w:pPr>
        <w:jc w:val="both"/>
        <w:rPr>
          <w:rFonts w:ascii="Times New Roman" w:hAnsi="Times New Roman"/>
          <w:sz w:val="24"/>
          <w:szCs w:val="24"/>
          <w:lang w:val="en-GB"/>
        </w:rPr>
      </w:pPr>
      <w:r>
        <w:rPr>
          <w:rFonts w:ascii="Times New Roman" w:hAnsi="Times New Roman"/>
          <w:sz w:val="24"/>
          <w:szCs w:val="24"/>
          <w:lang w:val="en-US"/>
        </w:rPr>
        <w:t xml:space="preserve">In addition, the exclusion of credit impaired borrowers as defined in criterion 5 (iii) needs to be reviewed as it would exclude all assets in jurisdiction where it is not possible to control potential default in the past 3 years in public historical registers, and its language (“debt restructuring”) would exclude corporate borrowers. </w:t>
      </w:r>
      <w:r w:rsidR="00152440">
        <w:rPr>
          <w:rFonts w:ascii="Times New Roman" w:hAnsi="Times New Roman"/>
          <w:sz w:val="24"/>
          <w:szCs w:val="24"/>
          <w:lang w:val="en-GB"/>
        </w:rPr>
        <w:t xml:space="preserve"> </w:t>
      </w:r>
    </w:p>
    <w:p w14:paraId="0FF52B16" w14:textId="77777777" w:rsidR="00152440" w:rsidRPr="00A72747" w:rsidRDefault="00152440" w:rsidP="00152440">
      <w:pPr>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52440" w:rsidRPr="00C75151" w14:paraId="6ECF3EB3" w14:textId="77777777" w:rsidTr="00022249">
        <w:tc>
          <w:tcPr>
            <w:tcW w:w="9212" w:type="dxa"/>
          </w:tcPr>
          <w:p w14:paraId="4B82AA62" w14:textId="77777777" w:rsidR="00152440" w:rsidRPr="00A45623" w:rsidRDefault="00152440" w:rsidP="00022249">
            <w:pPr>
              <w:spacing w:before="120"/>
              <w:jc w:val="both"/>
              <w:rPr>
                <w:rFonts w:ascii="Times New Roman" w:hAnsi="Times New Roman"/>
                <w:b/>
                <w:sz w:val="24"/>
                <w:szCs w:val="24"/>
                <w:lang w:val="en-GB"/>
              </w:rPr>
            </w:pPr>
            <w:r>
              <w:rPr>
                <w:rFonts w:ascii="Times New Roman" w:hAnsi="Times New Roman"/>
                <w:b/>
                <w:sz w:val="24"/>
                <w:szCs w:val="24"/>
                <w:lang w:val="en-GB"/>
              </w:rPr>
              <w:t xml:space="preserve">Question 4: </w:t>
            </w:r>
            <w:r w:rsidRPr="00255997">
              <w:rPr>
                <w:rFonts w:ascii="Times New Roman" w:hAnsi="Times New Roman"/>
                <w:b/>
                <w:sz w:val="24"/>
                <w:szCs w:val="24"/>
                <w:lang w:val="en-GB"/>
              </w:rPr>
              <w:t>Do you believe that, for the purposes of standardisation, there should be limits imposed on the type of jurisdiction (such as EEA only, EEA and non-EEA G10 countries, etc): i) the underlying assets are originated and/or ii) governing the acquisition process of the SSPE of the underlying assets is regulated and/or iii) where the originator or intermediary (if applicable) is established and/or iv) where the issuer/sponsor is established?</w:t>
            </w:r>
            <w:r>
              <w:rPr>
                <w:rFonts w:ascii="Times New Roman" w:hAnsi="Times New Roman"/>
                <w:b/>
                <w:sz w:val="24"/>
                <w:szCs w:val="24"/>
                <w:lang w:val="en-GB"/>
              </w:rPr>
              <w:t xml:space="preserve"> </w:t>
            </w:r>
            <w:r w:rsidRPr="00A45623">
              <w:rPr>
                <w:rFonts w:ascii="Times New Roman" w:hAnsi="Times New Roman"/>
                <w:b/>
                <w:sz w:val="24"/>
                <w:szCs w:val="24"/>
                <w:lang w:val="en-GB"/>
              </w:rPr>
              <w:t xml:space="preserve"> </w:t>
            </w:r>
          </w:p>
        </w:tc>
      </w:tr>
    </w:tbl>
    <w:p w14:paraId="1FA555B6" w14:textId="77777777" w:rsidR="00152440" w:rsidRPr="00A72747" w:rsidRDefault="00152440" w:rsidP="00152440">
      <w:pPr>
        <w:jc w:val="both"/>
        <w:rPr>
          <w:rFonts w:ascii="Times New Roman" w:hAnsi="Times New Roman"/>
          <w:sz w:val="24"/>
          <w:szCs w:val="24"/>
          <w:lang w:val="en-GB"/>
        </w:rPr>
      </w:pPr>
    </w:p>
    <w:p w14:paraId="24D5E430" w14:textId="77777777" w:rsidR="00152440" w:rsidRPr="00337E4B" w:rsidRDefault="00152440" w:rsidP="00152440">
      <w:pPr>
        <w:jc w:val="both"/>
        <w:rPr>
          <w:rFonts w:ascii="Times New Roman" w:hAnsi="Times New Roman"/>
          <w:sz w:val="24"/>
          <w:szCs w:val="24"/>
          <w:lang w:val="en-GB"/>
        </w:rPr>
      </w:pPr>
      <w:r w:rsidRPr="00337E4B">
        <w:rPr>
          <w:rFonts w:ascii="Times New Roman" w:hAnsi="Times New Roman"/>
          <w:sz w:val="24"/>
          <w:szCs w:val="24"/>
          <w:lang w:val="en-GB"/>
        </w:rPr>
        <w:t>We believe the range of jurisdictions allowed, both in terms of where the assets are originated and where the originator/issuer/sponsor are established, should be as wide as possible so as to extend the area of coverage of the “qualifying” securiti</w:t>
      </w:r>
      <w:r>
        <w:rPr>
          <w:rFonts w:ascii="Times New Roman" w:hAnsi="Times New Roman"/>
          <w:sz w:val="24"/>
          <w:szCs w:val="24"/>
          <w:lang w:val="en-GB"/>
        </w:rPr>
        <w:t>s</w:t>
      </w:r>
      <w:r w:rsidRPr="00337E4B">
        <w:rPr>
          <w:rFonts w:ascii="Times New Roman" w:hAnsi="Times New Roman"/>
          <w:sz w:val="24"/>
          <w:szCs w:val="24"/>
          <w:lang w:val="en-GB"/>
        </w:rPr>
        <w:t>ation framework and the associated preferential regulatory capital treatment to transactions structured through any branch</w:t>
      </w:r>
      <w:r>
        <w:rPr>
          <w:rFonts w:ascii="Times New Roman" w:hAnsi="Times New Roman"/>
          <w:sz w:val="24"/>
          <w:szCs w:val="24"/>
          <w:lang w:val="en-GB"/>
        </w:rPr>
        <w:t xml:space="preserve"> or</w:t>
      </w:r>
      <w:r w:rsidRPr="00337E4B">
        <w:rPr>
          <w:rFonts w:ascii="Times New Roman" w:hAnsi="Times New Roman"/>
          <w:sz w:val="24"/>
          <w:szCs w:val="24"/>
          <w:lang w:val="en-GB"/>
        </w:rPr>
        <w:t xml:space="preserve"> legal entity of a bank international network.  </w:t>
      </w:r>
    </w:p>
    <w:p w14:paraId="3C9FBA56" w14:textId="0DB9575F" w:rsidR="00152440" w:rsidRDefault="00152440" w:rsidP="00152440">
      <w:pPr>
        <w:jc w:val="both"/>
        <w:rPr>
          <w:rFonts w:ascii="Times New Roman" w:hAnsi="Times New Roman"/>
          <w:sz w:val="24"/>
          <w:szCs w:val="24"/>
          <w:lang w:val="en-GB"/>
        </w:rPr>
      </w:pPr>
      <w:r w:rsidRPr="00337E4B">
        <w:rPr>
          <w:rFonts w:ascii="Times New Roman" w:hAnsi="Times New Roman"/>
          <w:sz w:val="24"/>
          <w:szCs w:val="24"/>
          <w:lang w:val="en-GB"/>
        </w:rPr>
        <w:lastRenderedPageBreak/>
        <w:t>We therefore favo</w:t>
      </w:r>
      <w:r>
        <w:rPr>
          <w:rFonts w:ascii="Times New Roman" w:hAnsi="Times New Roman"/>
          <w:sz w:val="24"/>
          <w:szCs w:val="24"/>
          <w:lang w:val="en-GB"/>
        </w:rPr>
        <w:t>u</w:t>
      </w:r>
      <w:r w:rsidRPr="00337E4B">
        <w:rPr>
          <w:rFonts w:ascii="Times New Roman" w:hAnsi="Times New Roman"/>
          <w:sz w:val="24"/>
          <w:szCs w:val="24"/>
          <w:lang w:val="en-GB"/>
        </w:rPr>
        <w:t>r a scope of jurisdictions comprising both EEA and non-EEA countries</w:t>
      </w:r>
      <w:r w:rsidR="005A5809">
        <w:rPr>
          <w:rFonts w:ascii="Times New Roman" w:hAnsi="Times New Roman"/>
          <w:sz w:val="24"/>
          <w:szCs w:val="24"/>
          <w:lang w:val="en-GB"/>
        </w:rPr>
        <w:t xml:space="preserve">, </w:t>
      </w:r>
      <w:r w:rsidR="006D53C7">
        <w:rPr>
          <w:rFonts w:ascii="Times New Roman" w:hAnsi="Times New Roman"/>
          <w:sz w:val="24"/>
          <w:szCs w:val="24"/>
          <w:lang w:val="en-GB"/>
        </w:rPr>
        <w:t>provided equivalent origination and transparency rules are applicable in these countries, and the assets of the underlying transaction are coming from one market</w:t>
      </w:r>
      <w:r w:rsidRPr="00337E4B">
        <w:rPr>
          <w:rFonts w:ascii="Times New Roman" w:hAnsi="Times New Roman"/>
          <w:sz w:val="24"/>
          <w:szCs w:val="24"/>
          <w:lang w:val="en-GB"/>
        </w:rPr>
        <w:t>.</w:t>
      </w:r>
      <w:r>
        <w:rPr>
          <w:rFonts w:ascii="Times New Roman" w:hAnsi="Times New Roman"/>
          <w:sz w:val="24"/>
          <w:szCs w:val="24"/>
          <w:lang w:val="en-GB"/>
        </w:rPr>
        <w:t xml:space="preserve"> </w:t>
      </w:r>
    </w:p>
    <w:p w14:paraId="1CD95935" w14:textId="77777777" w:rsidR="0053308D" w:rsidRPr="0053308D" w:rsidRDefault="0053308D" w:rsidP="0053308D">
      <w:pPr>
        <w:jc w:val="both"/>
        <w:rPr>
          <w:rFonts w:ascii="Times New Roman" w:hAnsi="Times New Roman"/>
          <w:sz w:val="24"/>
          <w:szCs w:val="24"/>
          <w:lang w:val="en-GB"/>
        </w:rPr>
      </w:pPr>
      <w:r w:rsidRPr="0053308D">
        <w:rPr>
          <w:rFonts w:ascii="Times New Roman" w:hAnsi="Times New Roman"/>
          <w:sz w:val="24"/>
          <w:szCs w:val="24"/>
          <w:lang w:val="en-GB"/>
        </w:rPr>
        <w:t>However, the priority should be EEA. It is preferable not to jeopardise the implementation of a simple standard and transparent framework in Europe which helps funding European SMEs and economy, if an extension to other countries means it is more complex to define criteria which includes European assets with low loss history and exclude assets classes which have had significant losses.</w:t>
      </w:r>
    </w:p>
    <w:p w14:paraId="5940045E" w14:textId="2CD6DB51" w:rsidR="0053308D" w:rsidRPr="0053308D" w:rsidRDefault="0053308D" w:rsidP="0053308D">
      <w:pPr>
        <w:jc w:val="both"/>
        <w:rPr>
          <w:rFonts w:ascii="Times New Roman" w:hAnsi="Times New Roman"/>
          <w:sz w:val="24"/>
          <w:szCs w:val="24"/>
          <w:lang w:val="en-GB"/>
        </w:rPr>
      </w:pPr>
      <w:r w:rsidRPr="0053308D">
        <w:rPr>
          <w:rFonts w:ascii="Times New Roman" w:hAnsi="Times New Roman"/>
          <w:sz w:val="24"/>
          <w:szCs w:val="24"/>
          <w:lang w:val="en-GB"/>
        </w:rPr>
        <w:t>Therefore in priority, the framework should be implemented for EEA countries for</w:t>
      </w:r>
      <w:r>
        <w:rPr>
          <w:rFonts w:ascii="Times New Roman" w:hAnsi="Times New Roman"/>
          <w:sz w:val="24"/>
          <w:szCs w:val="24"/>
          <w:lang w:val="en-GB"/>
        </w:rPr>
        <w:t xml:space="preserve">: </w:t>
      </w:r>
      <w:r w:rsidRPr="0053308D">
        <w:rPr>
          <w:rFonts w:ascii="Times New Roman" w:hAnsi="Times New Roman"/>
          <w:sz w:val="24"/>
          <w:szCs w:val="24"/>
          <w:lang w:val="en-GB"/>
        </w:rPr>
        <w:t xml:space="preserve"> </w:t>
      </w:r>
    </w:p>
    <w:p w14:paraId="07F47A3F" w14:textId="57303437" w:rsidR="0053308D" w:rsidRPr="003917F7" w:rsidRDefault="0053308D" w:rsidP="003917F7">
      <w:pPr>
        <w:pStyle w:val="ListParagraph"/>
        <w:numPr>
          <w:ilvl w:val="0"/>
          <w:numId w:val="17"/>
        </w:numPr>
        <w:jc w:val="both"/>
        <w:rPr>
          <w:rFonts w:ascii="Times New Roman" w:hAnsi="Times New Roman"/>
          <w:sz w:val="24"/>
          <w:szCs w:val="24"/>
          <w:lang w:val="en-GB"/>
        </w:rPr>
      </w:pPr>
      <w:r w:rsidRPr="003917F7">
        <w:rPr>
          <w:rFonts w:ascii="Times New Roman" w:hAnsi="Times New Roman"/>
          <w:sz w:val="24"/>
          <w:szCs w:val="24"/>
          <w:lang w:val="en-GB"/>
        </w:rPr>
        <w:t>underlying assets originated in these countries, or;</w:t>
      </w:r>
    </w:p>
    <w:p w14:paraId="49026C2C" w14:textId="1D7167F3" w:rsidR="0053308D" w:rsidRPr="003917F7" w:rsidRDefault="0053308D" w:rsidP="003917F7">
      <w:pPr>
        <w:pStyle w:val="ListParagraph"/>
        <w:numPr>
          <w:ilvl w:val="0"/>
          <w:numId w:val="17"/>
        </w:numPr>
        <w:jc w:val="both"/>
        <w:rPr>
          <w:rFonts w:ascii="Times New Roman" w:hAnsi="Times New Roman"/>
          <w:sz w:val="24"/>
          <w:szCs w:val="24"/>
          <w:lang w:val="en-GB"/>
        </w:rPr>
      </w:pPr>
      <w:r w:rsidRPr="003917F7">
        <w:rPr>
          <w:rFonts w:ascii="Times New Roman" w:hAnsi="Times New Roman"/>
          <w:sz w:val="24"/>
          <w:szCs w:val="24"/>
          <w:lang w:val="en-GB"/>
        </w:rPr>
        <w:t xml:space="preserve">governing the acquisition process of the SSPE of the regulated underlying asset, or </w:t>
      </w:r>
    </w:p>
    <w:p w14:paraId="7CFCB10B" w14:textId="791AC043" w:rsidR="0053308D" w:rsidRPr="003917F7" w:rsidRDefault="0053308D" w:rsidP="003917F7">
      <w:pPr>
        <w:pStyle w:val="ListParagraph"/>
        <w:numPr>
          <w:ilvl w:val="0"/>
          <w:numId w:val="17"/>
        </w:numPr>
        <w:jc w:val="both"/>
        <w:rPr>
          <w:rFonts w:ascii="Times New Roman" w:hAnsi="Times New Roman"/>
          <w:sz w:val="24"/>
          <w:szCs w:val="24"/>
          <w:lang w:val="en-GB"/>
        </w:rPr>
      </w:pPr>
      <w:r w:rsidRPr="003917F7">
        <w:rPr>
          <w:rFonts w:ascii="Times New Roman" w:hAnsi="Times New Roman"/>
          <w:sz w:val="24"/>
          <w:szCs w:val="24"/>
          <w:lang w:val="en-GB"/>
        </w:rPr>
        <w:t>where the originator or intermediary is established, or</w:t>
      </w:r>
    </w:p>
    <w:p w14:paraId="0520E3C4" w14:textId="2DA55783" w:rsidR="0053308D" w:rsidRPr="003917F7" w:rsidRDefault="0053308D" w:rsidP="003917F7">
      <w:pPr>
        <w:pStyle w:val="ListParagraph"/>
        <w:numPr>
          <w:ilvl w:val="0"/>
          <w:numId w:val="17"/>
        </w:numPr>
        <w:jc w:val="both"/>
        <w:rPr>
          <w:rFonts w:ascii="Times New Roman" w:hAnsi="Times New Roman"/>
          <w:sz w:val="24"/>
          <w:szCs w:val="24"/>
          <w:lang w:val="en-GB"/>
        </w:rPr>
      </w:pPr>
      <w:r w:rsidRPr="003917F7">
        <w:rPr>
          <w:rFonts w:ascii="Times New Roman" w:hAnsi="Times New Roman"/>
          <w:sz w:val="24"/>
          <w:szCs w:val="24"/>
          <w:lang w:val="en-GB"/>
        </w:rPr>
        <w:t>where the sponsor is established</w:t>
      </w:r>
    </w:p>
    <w:p w14:paraId="4763258D" w14:textId="1EAD0485" w:rsidR="0053308D" w:rsidRPr="00337E4B" w:rsidRDefault="0053308D" w:rsidP="0053308D">
      <w:pPr>
        <w:jc w:val="both"/>
        <w:rPr>
          <w:rFonts w:ascii="Times New Roman" w:hAnsi="Times New Roman"/>
          <w:sz w:val="24"/>
          <w:szCs w:val="24"/>
          <w:lang w:val="en-GB"/>
        </w:rPr>
      </w:pPr>
      <w:r w:rsidRPr="0053308D">
        <w:rPr>
          <w:rFonts w:ascii="Times New Roman" w:hAnsi="Times New Roman"/>
          <w:sz w:val="24"/>
          <w:szCs w:val="24"/>
          <w:lang w:val="en-GB"/>
        </w:rPr>
        <w:t>Pools with pan</w:t>
      </w:r>
      <w:r>
        <w:rPr>
          <w:rFonts w:ascii="Times New Roman" w:hAnsi="Times New Roman"/>
          <w:sz w:val="24"/>
          <w:szCs w:val="24"/>
          <w:lang w:val="en-GB"/>
        </w:rPr>
        <w:t>-</w:t>
      </w:r>
      <w:r w:rsidRPr="0053308D">
        <w:rPr>
          <w:rFonts w:ascii="Times New Roman" w:hAnsi="Times New Roman"/>
          <w:sz w:val="24"/>
          <w:szCs w:val="24"/>
          <w:lang w:val="en-GB"/>
        </w:rPr>
        <w:t xml:space="preserve">European assets should not be excluded </w:t>
      </w:r>
      <w:r w:rsidR="003138B8">
        <w:rPr>
          <w:rFonts w:ascii="Times New Roman" w:hAnsi="Times New Roman"/>
          <w:sz w:val="24"/>
          <w:szCs w:val="24"/>
          <w:lang w:val="en-GB"/>
        </w:rPr>
        <w:t>since</w:t>
      </w:r>
      <w:r w:rsidR="003138B8" w:rsidRPr="00DE5E4F">
        <w:rPr>
          <w:rFonts w:ascii="Times New Roman" w:hAnsi="Times New Roman"/>
          <w:sz w:val="24"/>
          <w:szCs w:val="24"/>
          <w:lang w:val="en-GB"/>
        </w:rPr>
        <w:t xml:space="preserve"> </w:t>
      </w:r>
      <w:r w:rsidR="003138B8">
        <w:rPr>
          <w:rFonts w:ascii="Times New Roman" w:hAnsi="Times New Roman"/>
          <w:sz w:val="24"/>
          <w:szCs w:val="24"/>
          <w:lang w:val="en-GB"/>
        </w:rPr>
        <w:t>e</w:t>
      </w:r>
      <w:r w:rsidR="003138B8" w:rsidRPr="0053308D">
        <w:rPr>
          <w:rFonts w:ascii="Times New Roman" w:hAnsi="Times New Roman"/>
          <w:sz w:val="24"/>
          <w:szCs w:val="24"/>
          <w:lang w:val="en-GB"/>
        </w:rPr>
        <w:t>xposure to multiple European countries provides diversification</w:t>
      </w:r>
      <w:r w:rsidR="003138B8">
        <w:rPr>
          <w:rFonts w:ascii="Times New Roman" w:hAnsi="Times New Roman"/>
          <w:sz w:val="24"/>
          <w:szCs w:val="24"/>
          <w:lang w:val="en-GB"/>
        </w:rPr>
        <w:t xml:space="preserve"> advantages, with the associated reduction in credit risk. This pan-European feature is essential for certain securitisation segments such as </w:t>
      </w:r>
      <w:r w:rsidRPr="0053308D">
        <w:rPr>
          <w:rFonts w:ascii="Times New Roman" w:hAnsi="Times New Roman"/>
          <w:sz w:val="24"/>
          <w:szCs w:val="24"/>
          <w:lang w:val="en-GB"/>
        </w:rPr>
        <w:t xml:space="preserve">trade receivables. </w:t>
      </w:r>
    </w:p>
    <w:p w14:paraId="56BC5839" w14:textId="77777777" w:rsidR="00152440" w:rsidRPr="00A72747" w:rsidRDefault="00152440" w:rsidP="00152440">
      <w:pPr>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52440" w:rsidRPr="00C75151" w14:paraId="6D4A9C05" w14:textId="77777777" w:rsidTr="00022249">
        <w:tc>
          <w:tcPr>
            <w:tcW w:w="9212" w:type="dxa"/>
          </w:tcPr>
          <w:p w14:paraId="12915A87" w14:textId="77777777" w:rsidR="00152440" w:rsidRPr="00A45623" w:rsidRDefault="00152440" w:rsidP="00022249">
            <w:pPr>
              <w:spacing w:before="120"/>
              <w:jc w:val="both"/>
              <w:rPr>
                <w:rFonts w:ascii="Times New Roman" w:hAnsi="Times New Roman"/>
                <w:b/>
                <w:sz w:val="24"/>
                <w:szCs w:val="24"/>
                <w:lang w:val="en-GB"/>
              </w:rPr>
            </w:pPr>
            <w:r>
              <w:rPr>
                <w:rFonts w:ascii="Times New Roman" w:hAnsi="Times New Roman"/>
                <w:b/>
                <w:sz w:val="24"/>
                <w:szCs w:val="24"/>
                <w:lang w:val="en-GB"/>
              </w:rPr>
              <w:t xml:space="preserve">Question 5: </w:t>
            </w:r>
            <w:r w:rsidRPr="00255997">
              <w:rPr>
                <w:rFonts w:ascii="Times New Roman" w:hAnsi="Times New Roman"/>
                <w:b/>
                <w:sz w:val="24"/>
                <w:szCs w:val="24"/>
                <w:lang w:val="en-GB"/>
              </w:rPr>
              <w:t>Does the distribution of voting rights to the most senior tranches in the securitisation conflict with any national provision? Would this distribution deter investors in non-senior tranches and obstacle the structuring of transactions?</w:t>
            </w:r>
            <w:r w:rsidRPr="00A45623">
              <w:rPr>
                <w:rFonts w:ascii="Times New Roman" w:hAnsi="Times New Roman"/>
                <w:b/>
                <w:sz w:val="24"/>
                <w:szCs w:val="24"/>
                <w:lang w:val="en-GB"/>
              </w:rPr>
              <w:t xml:space="preserve"> </w:t>
            </w:r>
          </w:p>
        </w:tc>
      </w:tr>
    </w:tbl>
    <w:p w14:paraId="41A8F503" w14:textId="77777777" w:rsidR="00152440" w:rsidRPr="00A72747" w:rsidRDefault="00152440" w:rsidP="00152440">
      <w:pPr>
        <w:jc w:val="both"/>
        <w:rPr>
          <w:rFonts w:ascii="Times New Roman" w:hAnsi="Times New Roman"/>
          <w:sz w:val="24"/>
          <w:szCs w:val="24"/>
          <w:lang w:val="en-GB"/>
        </w:rPr>
      </w:pPr>
    </w:p>
    <w:p w14:paraId="09CC39C7" w14:textId="5C9C8989" w:rsidR="00152440" w:rsidRDefault="00152440" w:rsidP="00152440">
      <w:pPr>
        <w:jc w:val="both"/>
        <w:rPr>
          <w:rFonts w:ascii="Times New Roman" w:hAnsi="Times New Roman"/>
          <w:sz w:val="24"/>
          <w:szCs w:val="24"/>
          <w:lang w:val="en-GB"/>
        </w:rPr>
      </w:pPr>
      <w:r w:rsidRPr="0049182B">
        <w:rPr>
          <w:rFonts w:ascii="Times New Roman" w:hAnsi="Times New Roman"/>
          <w:sz w:val="24"/>
          <w:szCs w:val="24"/>
          <w:lang w:val="en-GB"/>
        </w:rPr>
        <w:t>No</w:t>
      </w:r>
      <w:r>
        <w:rPr>
          <w:rFonts w:ascii="Times New Roman" w:hAnsi="Times New Roman"/>
          <w:sz w:val="24"/>
          <w:szCs w:val="24"/>
          <w:lang w:val="en-GB"/>
        </w:rPr>
        <w:t>,</w:t>
      </w:r>
      <w:r w:rsidRPr="0049182B">
        <w:rPr>
          <w:rFonts w:ascii="Times New Roman" w:hAnsi="Times New Roman"/>
          <w:sz w:val="24"/>
          <w:szCs w:val="24"/>
          <w:lang w:val="en-GB"/>
        </w:rPr>
        <w:t xml:space="preserve"> </w:t>
      </w:r>
      <w:r>
        <w:rPr>
          <w:rFonts w:ascii="Times New Roman" w:hAnsi="Times New Roman"/>
          <w:sz w:val="24"/>
          <w:szCs w:val="24"/>
          <w:lang w:val="en-GB"/>
        </w:rPr>
        <w:t>w</w:t>
      </w:r>
      <w:r w:rsidRPr="0049182B">
        <w:rPr>
          <w:rFonts w:ascii="Times New Roman" w:hAnsi="Times New Roman"/>
          <w:sz w:val="24"/>
          <w:szCs w:val="24"/>
          <w:lang w:val="en-GB"/>
        </w:rPr>
        <w:t>e believe this is not an obstacle to structuring, although investors in non-senior tranches may demand higher spreads</w:t>
      </w:r>
      <w:r w:rsidR="00081D02">
        <w:rPr>
          <w:rFonts w:ascii="Times New Roman" w:hAnsi="Times New Roman"/>
          <w:sz w:val="24"/>
          <w:szCs w:val="24"/>
          <w:lang w:val="en-GB"/>
        </w:rPr>
        <w:t xml:space="preserve"> </w:t>
      </w:r>
      <w:r w:rsidR="00081D02" w:rsidRPr="00081D02">
        <w:rPr>
          <w:rFonts w:ascii="Times New Roman" w:hAnsi="Times New Roman"/>
          <w:sz w:val="24"/>
          <w:szCs w:val="24"/>
          <w:lang w:val="en-GB"/>
        </w:rPr>
        <w:t>which will be significantly detrimental to the economics of the securitisations. In addition, we have signals that originators could feel deterred because they are afraid that third parties could take influence not only after a default or insolvency event but even before, which would not be acceptable for them and the bank-customer relationship</w:t>
      </w:r>
      <w:r>
        <w:rPr>
          <w:rFonts w:ascii="Times New Roman" w:hAnsi="Times New Roman"/>
          <w:sz w:val="24"/>
          <w:szCs w:val="24"/>
          <w:lang w:val="en-GB"/>
        </w:rPr>
        <w:t xml:space="preserve">. </w:t>
      </w:r>
    </w:p>
    <w:p w14:paraId="1C9967DE" w14:textId="0B0E6599" w:rsidR="00F25A76" w:rsidRDefault="00F25A76" w:rsidP="00152440">
      <w:pPr>
        <w:jc w:val="both"/>
        <w:rPr>
          <w:rFonts w:ascii="Times New Roman" w:hAnsi="Times New Roman"/>
          <w:sz w:val="24"/>
          <w:szCs w:val="24"/>
          <w:lang w:val="en-GB"/>
        </w:rPr>
      </w:pPr>
      <w:r w:rsidRPr="00F25A76">
        <w:rPr>
          <w:rFonts w:ascii="Times New Roman" w:hAnsi="Times New Roman"/>
          <w:sz w:val="24"/>
          <w:szCs w:val="24"/>
          <w:lang w:val="en-GB"/>
        </w:rPr>
        <w:t>Distribution of voting rights to the most senior tranches is good practice for Simple Standard and Transparent Securitisation, as long as it does not impede junior tranche holders to help manage the risks. For example in Commercial real estate, Junior tranche holders can inject equity to increase the renting potential and the value of the property, which is long term positive for the transaction.</w:t>
      </w:r>
      <w:r>
        <w:rPr>
          <w:rFonts w:ascii="Times New Roman" w:hAnsi="Times New Roman"/>
          <w:sz w:val="24"/>
          <w:szCs w:val="24"/>
          <w:lang w:val="en-GB"/>
        </w:rPr>
        <w:t xml:space="preserve"> </w:t>
      </w:r>
    </w:p>
    <w:p w14:paraId="7AD137EB" w14:textId="77777777" w:rsidR="00152440" w:rsidRPr="00A72747" w:rsidRDefault="00152440" w:rsidP="00152440">
      <w:pPr>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52440" w:rsidRPr="00957371" w14:paraId="10066AB5" w14:textId="77777777" w:rsidTr="00022249">
        <w:tc>
          <w:tcPr>
            <w:tcW w:w="9212" w:type="dxa"/>
          </w:tcPr>
          <w:p w14:paraId="475B2E27" w14:textId="77777777" w:rsidR="00152440" w:rsidRPr="00A45623" w:rsidRDefault="00152440" w:rsidP="00022249">
            <w:pPr>
              <w:spacing w:before="120"/>
              <w:jc w:val="both"/>
              <w:rPr>
                <w:rFonts w:ascii="Times New Roman" w:hAnsi="Times New Roman"/>
                <w:b/>
                <w:sz w:val="24"/>
                <w:szCs w:val="24"/>
                <w:lang w:val="en-GB"/>
              </w:rPr>
            </w:pPr>
            <w:r>
              <w:rPr>
                <w:rFonts w:ascii="Times New Roman" w:hAnsi="Times New Roman"/>
                <w:b/>
                <w:sz w:val="24"/>
                <w:szCs w:val="24"/>
                <w:lang w:val="en-GB"/>
              </w:rPr>
              <w:t xml:space="preserve">Question 6: </w:t>
            </w:r>
            <w:r w:rsidRPr="00255997">
              <w:rPr>
                <w:rFonts w:ascii="Times New Roman" w:hAnsi="Times New Roman"/>
                <w:b/>
                <w:sz w:val="24"/>
                <w:szCs w:val="24"/>
                <w:lang w:val="en-GB"/>
              </w:rPr>
              <w:t>Do you believe that, for the purposes of transparency, a specific timing of the disclosure of underlying transaction documentation should be required? Should this documentation be disclosed prior to issuance?</w:t>
            </w:r>
            <w:r w:rsidRPr="00A45623">
              <w:rPr>
                <w:rFonts w:ascii="Times New Roman" w:hAnsi="Times New Roman"/>
                <w:b/>
                <w:sz w:val="24"/>
                <w:szCs w:val="24"/>
                <w:lang w:val="en-GB"/>
              </w:rPr>
              <w:t xml:space="preserve"> </w:t>
            </w:r>
          </w:p>
        </w:tc>
      </w:tr>
    </w:tbl>
    <w:p w14:paraId="613861BE" w14:textId="77777777" w:rsidR="00152440" w:rsidRPr="00A72747" w:rsidRDefault="00152440" w:rsidP="00152440">
      <w:pPr>
        <w:jc w:val="both"/>
        <w:rPr>
          <w:rFonts w:ascii="Times New Roman" w:hAnsi="Times New Roman"/>
          <w:sz w:val="24"/>
          <w:szCs w:val="24"/>
          <w:lang w:val="en-GB"/>
        </w:rPr>
      </w:pPr>
    </w:p>
    <w:p w14:paraId="4B0A9482" w14:textId="77777777" w:rsidR="00152440" w:rsidRDefault="00152440" w:rsidP="00152440">
      <w:pPr>
        <w:jc w:val="both"/>
        <w:rPr>
          <w:rFonts w:ascii="Times New Roman" w:hAnsi="Times New Roman"/>
          <w:sz w:val="24"/>
          <w:szCs w:val="24"/>
          <w:lang w:val="en-GB"/>
        </w:rPr>
      </w:pPr>
      <w:r w:rsidRPr="0049182B">
        <w:rPr>
          <w:rFonts w:ascii="Times New Roman" w:hAnsi="Times New Roman"/>
          <w:sz w:val="24"/>
          <w:szCs w:val="24"/>
          <w:lang w:val="en-GB"/>
        </w:rPr>
        <w:t xml:space="preserve">We believe that any disclosure of the transaction documents prior to issuance should only be made after the respective signature, save for the “red” prospectus. Indeed, disclosure of the transaction documents (as defined in the prospectus) should be seen as for future and more </w:t>
      </w:r>
      <w:r w:rsidRPr="0049182B">
        <w:rPr>
          <w:rFonts w:ascii="Times New Roman" w:hAnsi="Times New Roman"/>
          <w:sz w:val="24"/>
          <w:szCs w:val="24"/>
          <w:lang w:val="en-GB"/>
        </w:rPr>
        <w:lastRenderedPageBreak/>
        <w:t xml:space="preserve">detailed reference. The prospectus should remain the central decision-tool when it comes to understanding the fundamental features of the transaction and its legal structure. </w:t>
      </w:r>
    </w:p>
    <w:p w14:paraId="67EA4B52" w14:textId="2B5221A5" w:rsidR="00F25A76" w:rsidRPr="0049182B" w:rsidRDefault="00F25A76" w:rsidP="00152440">
      <w:pPr>
        <w:jc w:val="both"/>
        <w:rPr>
          <w:rFonts w:ascii="Times New Roman" w:hAnsi="Times New Roman"/>
          <w:sz w:val="24"/>
          <w:szCs w:val="24"/>
          <w:lang w:val="en-GB"/>
        </w:rPr>
      </w:pPr>
      <w:r w:rsidRPr="00F25A76">
        <w:rPr>
          <w:rFonts w:ascii="Times New Roman" w:hAnsi="Times New Roman"/>
          <w:sz w:val="24"/>
          <w:szCs w:val="24"/>
          <w:lang w:val="en-GB"/>
        </w:rPr>
        <w:t>The timeframe for closing transactions is usually very short, and legal documents are prepared until the closing date. There have not been difficulties caused by this, as the Offering Circular / Prospectus already provides detailed description of the transaction. Therefore there is little value to provide legal documentations prior to issuance. A timeframe of 1 month after issuance to obtain legal documentation seems reasonable.</w:t>
      </w:r>
      <w:r>
        <w:rPr>
          <w:rFonts w:ascii="Times New Roman" w:hAnsi="Times New Roman"/>
          <w:sz w:val="24"/>
          <w:szCs w:val="24"/>
          <w:lang w:val="en-GB"/>
        </w:rPr>
        <w:t xml:space="preserve"> </w:t>
      </w:r>
    </w:p>
    <w:p w14:paraId="6FF01AF0" w14:textId="77777777" w:rsidR="00152440" w:rsidRPr="0049182B" w:rsidRDefault="00152440" w:rsidP="00152440">
      <w:pPr>
        <w:jc w:val="both"/>
        <w:rPr>
          <w:rFonts w:ascii="Times New Roman" w:hAnsi="Times New Roman"/>
          <w:sz w:val="24"/>
          <w:szCs w:val="24"/>
          <w:lang w:val="en-GB"/>
        </w:rPr>
      </w:pPr>
      <w:r w:rsidRPr="0049182B">
        <w:rPr>
          <w:rFonts w:ascii="Times New Roman" w:hAnsi="Times New Roman"/>
          <w:sz w:val="24"/>
          <w:szCs w:val="24"/>
          <w:lang w:val="en-GB"/>
        </w:rPr>
        <w:t>Regarding Criterion 17, that stipulates that where legally possible, investors should have access to all underlying transaction documents, we agree, in principle, provided that the transactions documents refer to the defined term “Transaction Documents”.</w:t>
      </w:r>
    </w:p>
    <w:p w14:paraId="69464F9D" w14:textId="77777777" w:rsidR="00152440" w:rsidRPr="0049182B" w:rsidRDefault="00152440" w:rsidP="00152440">
      <w:pPr>
        <w:jc w:val="both"/>
        <w:rPr>
          <w:rFonts w:ascii="Times New Roman" w:hAnsi="Times New Roman"/>
          <w:sz w:val="24"/>
          <w:szCs w:val="24"/>
          <w:lang w:val="en-GB"/>
        </w:rPr>
      </w:pPr>
      <w:r w:rsidRPr="0049182B">
        <w:rPr>
          <w:rFonts w:ascii="Times New Roman" w:hAnsi="Times New Roman"/>
          <w:sz w:val="24"/>
          <w:szCs w:val="24"/>
          <w:lang w:val="en-GB"/>
        </w:rPr>
        <w:t>Regarding Criterion 20, that stipulates that investors and prospective investors should have readily available access to data on the historical default and loss performance, such as delinquency and default data, for substantially similar exposures to those being securitised, covering a representative time period, we also agree in principle, subject to the form such information is required to be presented. For example, originator’s aggregated vintage analysis is possible, whereas loan-by-loan consistent recovery data information can present a substantial challenge.</w:t>
      </w:r>
    </w:p>
    <w:p w14:paraId="49691F90" w14:textId="77777777" w:rsidR="00152440" w:rsidRPr="00A72747" w:rsidRDefault="00152440" w:rsidP="00152440">
      <w:pPr>
        <w:jc w:val="both"/>
        <w:rPr>
          <w:rFonts w:ascii="Times New Roman" w:hAnsi="Times New Roman"/>
          <w:sz w:val="24"/>
          <w:szCs w:val="24"/>
          <w:lang w:val="en-GB"/>
        </w:rPr>
      </w:pPr>
      <w:r w:rsidRPr="0049182B">
        <w:rPr>
          <w:rFonts w:ascii="Times New Roman" w:hAnsi="Times New Roman"/>
          <w:sz w:val="24"/>
          <w:szCs w:val="24"/>
          <w:lang w:val="en-GB"/>
        </w:rPr>
        <w:t>Regarding Criterion 22 that stipulates the content of the information to be disclosed to investors, at least on a quarterly basis, we also agree in principle, subject also to the form such information is required to be presented.</w:t>
      </w:r>
      <w:r>
        <w:rPr>
          <w:rFonts w:ascii="Times New Roman" w:hAnsi="Times New Roman"/>
          <w:sz w:val="24"/>
          <w:szCs w:val="24"/>
          <w:lang w:val="en-GB"/>
        </w:rPr>
        <w:t xml:space="preserve"> </w:t>
      </w:r>
      <w:r w:rsidRPr="00A72747">
        <w:rPr>
          <w:rFonts w:ascii="Times New Roman" w:hAnsi="Times New Roman"/>
          <w:sz w:val="24"/>
          <w:szCs w:val="24"/>
          <w:lang w:val="en-GB"/>
        </w:rPr>
        <w:t xml:space="preserve"> </w:t>
      </w:r>
    </w:p>
    <w:p w14:paraId="60ECB5DF" w14:textId="77777777" w:rsidR="00152440" w:rsidRPr="00A72747" w:rsidRDefault="00152440" w:rsidP="00152440">
      <w:pPr>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52440" w:rsidRPr="00957371" w14:paraId="40E27E9B" w14:textId="77777777" w:rsidTr="00022249">
        <w:tc>
          <w:tcPr>
            <w:tcW w:w="9212" w:type="dxa"/>
          </w:tcPr>
          <w:p w14:paraId="740A0EB0" w14:textId="77777777" w:rsidR="00152440" w:rsidRPr="00A45623" w:rsidRDefault="00152440" w:rsidP="00022249">
            <w:pPr>
              <w:spacing w:before="120"/>
              <w:jc w:val="both"/>
              <w:rPr>
                <w:rFonts w:ascii="Times New Roman" w:hAnsi="Times New Roman"/>
                <w:b/>
                <w:sz w:val="24"/>
                <w:szCs w:val="24"/>
                <w:lang w:val="en-GB"/>
              </w:rPr>
            </w:pPr>
            <w:r>
              <w:rPr>
                <w:rFonts w:ascii="Times New Roman" w:hAnsi="Times New Roman"/>
                <w:b/>
                <w:sz w:val="24"/>
                <w:szCs w:val="24"/>
                <w:lang w:val="en-GB"/>
              </w:rPr>
              <w:t xml:space="preserve">Question 7: </w:t>
            </w:r>
            <w:r w:rsidRPr="00C64092">
              <w:rPr>
                <w:rFonts w:ascii="Times New Roman" w:hAnsi="Times New Roman"/>
                <w:b/>
                <w:sz w:val="24"/>
                <w:szCs w:val="24"/>
                <w:lang w:val="en-GB"/>
              </w:rPr>
              <w:t>Do you agree that granularity is a relevant factor determining the credit risk of the underlying? Does the threshold value proposed under Criterion B pose an obstacle to the structuring of securitisation transactions in any specific asset class? Would</w:t>
            </w:r>
            <w:r>
              <w:rPr>
                <w:rFonts w:ascii="Times New Roman" w:hAnsi="Times New Roman"/>
                <w:b/>
                <w:sz w:val="24"/>
                <w:szCs w:val="24"/>
                <w:lang w:val="en-GB"/>
              </w:rPr>
              <w:t xml:space="preserve"> </w:t>
            </w:r>
            <w:r w:rsidRPr="00C64092">
              <w:rPr>
                <w:rFonts w:ascii="Times New Roman" w:hAnsi="Times New Roman"/>
                <w:b/>
                <w:sz w:val="24"/>
                <w:szCs w:val="24"/>
                <w:lang w:val="en-GB"/>
              </w:rPr>
              <w:t>another threshold value be more appropriate?</w:t>
            </w:r>
            <w:r w:rsidRPr="00A45623">
              <w:rPr>
                <w:rFonts w:ascii="Times New Roman" w:hAnsi="Times New Roman"/>
                <w:b/>
                <w:sz w:val="24"/>
                <w:szCs w:val="24"/>
                <w:lang w:val="en-GB"/>
              </w:rPr>
              <w:t xml:space="preserve"> </w:t>
            </w:r>
          </w:p>
        </w:tc>
      </w:tr>
    </w:tbl>
    <w:p w14:paraId="4C1FE623" w14:textId="77777777" w:rsidR="00152440" w:rsidRPr="00A72747" w:rsidRDefault="00152440" w:rsidP="00152440">
      <w:pPr>
        <w:jc w:val="both"/>
        <w:rPr>
          <w:rFonts w:ascii="Times New Roman" w:hAnsi="Times New Roman"/>
          <w:sz w:val="24"/>
          <w:szCs w:val="24"/>
          <w:lang w:val="en-GB"/>
        </w:rPr>
      </w:pPr>
    </w:p>
    <w:p w14:paraId="3F89D467" w14:textId="3FC37EC7" w:rsidR="00F25A76" w:rsidRPr="00F25A76" w:rsidRDefault="00152440" w:rsidP="00F25A76">
      <w:pPr>
        <w:jc w:val="both"/>
        <w:rPr>
          <w:rFonts w:ascii="Times New Roman" w:hAnsi="Times New Roman"/>
          <w:sz w:val="24"/>
          <w:szCs w:val="24"/>
          <w:lang w:val="en-GB"/>
        </w:rPr>
      </w:pPr>
      <w:r w:rsidRPr="009B5E31">
        <w:rPr>
          <w:rFonts w:ascii="Times New Roman" w:hAnsi="Times New Roman"/>
          <w:sz w:val="24"/>
          <w:szCs w:val="24"/>
          <w:lang w:val="en-GB"/>
        </w:rPr>
        <w:t xml:space="preserve">While we believe that granularity is a </w:t>
      </w:r>
      <w:r w:rsidR="007D64F5">
        <w:rPr>
          <w:rFonts w:ascii="Times New Roman" w:hAnsi="Times New Roman"/>
          <w:sz w:val="24"/>
          <w:szCs w:val="24"/>
          <w:lang w:val="en-GB"/>
        </w:rPr>
        <w:t>significant</w:t>
      </w:r>
      <w:r w:rsidRPr="009B5E31">
        <w:rPr>
          <w:rFonts w:ascii="Times New Roman" w:hAnsi="Times New Roman"/>
          <w:sz w:val="24"/>
          <w:szCs w:val="24"/>
          <w:lang w:val="en-GB"/>
        </w:rPr>
        <w:t xml:space="preserve"> factor in assessing the </w:t>
      </w:r>
      <w:r w:rsidR="007D64F5">
        <w:rPr>
          <w:rFonts w:ascii="Times New Roman" w:hAnsi="Times New Roman"/>
          <w:sz w:val="24"/>
          <w:szCs w:val="24"/>
          <w:lang w:val="en-GB"/>
        </w:rPr>
        <w:t xml:space="preserve">diversification and therefore the </w:t>
      </w:r>
      <w:r w:rsidRPr="009B5E31">
        <w:rPr>
          <w:rFonts w:ascii="Times New Roman" w:hAnsi="Times New Roman"/>
          <w:sz w:val="24"/>
          <w:szCs w:val="24"/>
          <w:lang w:val="en-GB"/>
        </w:rPr>
        <w:t xml:space="preserve">credit risk of the underlying, we </w:t>
      </w:r>
      <w:r>
        <w:rPr>
          <w:rFonts w:ascii="Times New Roman" w:hAnsi="Times New Roman"/>
          <w:sz w:val="24"/>
          <w:szCs w:val="24"/>
          <w:lang w:val="en-GB"/>
        </w:rPr>
        <w:t>think</w:t>
      </w:r>
      <w:r w:rsidRPr="009B5E31">
        <w:rPr>
          <w:rFonts w:ascii="Times New Roman" w:hAnsi="Times New Roman"/>
          <w:sz w:val="24"/>
          <w:szCs w:val="24"/>
          <w:lang w:val="en-GB"/>
        </w:rPr>
        <w:t xml:space="preserve"> that </w:t>
      </w:r>
      <w:r w:rsidR="007D64F5">
        <w:rPr>
          <w:rFonts w:ascii="Times New Roman" w:hAnsi="Times New Roman"/>
          <w:sz w:val="24"/>
          <w:szCs w:val="24"/>
          <w:lang w:val="en-GB"/>
        </w:rPr>
        <w:t xml:space="preserve">its relevance and explanatory power differs across different asset classes and that, also because of this, </w:t>
      </w:r>
      <w:r w:rsidRPr="009B5E31">
        <w:rPr>
          <w:rFonts w:ascii="Times New Roman" w:hAnsi="Times New Roman"/>
          <w:sz w:val="24"/>
          <w:szCs w:val="24"/>
          <w:lang w:val="en-GB"/>
        </w:rPr>
        <w:t>setting a fixed percentage maximum threshold to individual loan exposures might be too limiting for the structuring of transactions</w:t>
      </w:r>
      <w:r w:rsidR="00F63238">
        <w:rPr>
          <w:rFonts w:ascii="Times New Roman" w:hAnsi="Times New Roman"/>
          <w:sz w:val="24"/>
          <w:szCs w:val="24"/>
          <w:lang w:val="en-GB"/>
        </w:rPr>
        <w:t xml:space="preserve"> in certain asset classes</w:t>
      </w:r>
      <w:r w:rsidRPr="009B5E31">
        <w:rPr>
          <w:rFonts w:ascii="Times New Roman" w:hAnsi="Times New Roman"/>
          <w:sz w:val="24"/>
          <w:szCs w:val="24"/>
          <w:lang w:val="en-GB"/>
        </w:rPr>
        <w:t xml:space="preserve">. </w:t>
      </w:r>
      <w:r w:rsidR="00F63238">
        <w:rPr>
          <w:rFonts w:ascii="Times New Roman" w:hAnsi="Times New Roman"/>
          <w:sz w:val="24"/>
          <w:szCs w:val="24"/>
          <w:lang w:val="en-GB"/>
        </w:rPr>
        <w:t>For</w:t>
      </w:r>
      <w:r w:rsidR="00F25A76" w:rsidRPr="00F25A76">
        <w:rPr>
          <w:rFonts w:ascii="Times New Roman" w:hAnsi="Times New Roman"/>
          <w:sz w:val="24"/>
          <w:szCs w:val="24"/>
          <w:lang w:val="en-GB"/>
        </w:rPr>
        <w:t xml:space="preserve"> homogeneous asset pools and asset classes (e.g. residential mortgages in a country), granularity is an important factor. </w:t>
      </w:r>
      <w:r w:rsidR="00F63238">
        <w:rPr>
          <w:rFonts w:ascii="Times New Roman" w:hAnsi="Times New Roman"/>
          <w:sz w:val="24"/>
          <w:szCs w:val="24"/>
          <w:lang w:val="en-GB"/>
        </w:rPr>
        <w:t>F</w:t>
      </w:r>
      <w:r w:rsidR="00F25A76" w:rsidRPr="00F25A76">
        <w:rPr>
          <w:rFonts w:ascii="Times New Roman" w:hAnsi="Times New Roman"/>
          <w:sz w:val="24"/>
          <w:szCs w:val="24"/>
          <w:lang w:val="en-GB"/>
        </w:rPr>
        <w:t xml:space="preserve">or pools of corporate loans </w:t>
      </w:r>
      <w:r w:rsidR="00F63238">
        <w:rPr>
          <w:rFonts w:ascii="Times New Roman" w:hAnsi="Times New Roman"/>
          <w:sz w:val="24"/>
          <w:szCs w:val="24"/>
          <w:lang w:val="en-GB"/>
        </w:rPr>
        <w:t xml:space="preserve">other factors such as geographical or </w:t>
      </w:r>
      <w:r w:rsidR="00F25A76" w:rsidRPr="00F25A76">
        <w:rPr>
          <w:rFonts w:ascii="Times New Roman" w:hAnsi="Times New Roman"/>
          <w:sz w:val="24"/>
          <w:szCs w:val="24"/>
          <w:lang w:val="en-GB"/>
        </w:rPr>
        <w:t>industry diversification</w:t>
      </w:r>
      <w:r w:rsidR="00F63238">
        <w:rPr>
          <w:rFonts w:ascii="Times New Roman" w:hAnsi="Times New Roman"/>
          <w:sz w:val="24"/>
          <w:szCs w:val="24"/>
          <w:lang w:val="en-GB"/>
        </w:rPr>
        <w:t xml:space="preserve"> have an equal or greater bearing than granularity on the riskiness of the portfolio</w:t>
      </w:r>
      <w:r w:rsidR="00F25A76" w:rsidRPr="00F25A76">
        <w:rPr>
          <w:rFonts w:ascii="Times New Roman" w:hAnsi="Times New Roman"/>
          <w:sz w:val="24"/>
          <w:szCs w:val="24"/>
          <w:lang w:val="en-GB"/>
        </w:rPr>
        <w:t>.</w:t>
      </w:r>
      <w:r w:rsidR="007D64F5">
        <w:rPr>
          <w:rFonts w:ascii="Times New Roman" w:hAnsi="Times New Roman"/>
          <w:sz w:val="24"/>
          <w:szCs w:val="24"/>
          <w:lang w:val="en-GB"/>
        </w:rPr>
        <w:t xml:space="preserve"> </w:t>
      </w:r>
    </w:p>
    <w:p w14:paraId="25A63907" w14:textId="49E36ACA" w:rsidR="00F25A76" w:rsidRPr="00F25A76" w:rsidRDefault="00F25A76" w:rsidP="00F25A76">
      <w:pPr>
        <w:jc w:val="both"/>
        <w:rPr>
          <w:rFonts w:ascii="Times New Roman" w:hAnsi="Times New Roman"/>
          <w:sz w:val="24"/>
          <w:szCs w:val="24"/>
          <w:lang w:val="en-GB"/>
        </w:rPr>
      </w:pPr>
      <w:r w:rsidRPr="00F25A76">
        <w:rPr>
          <w:rFonts w:ascii="Times New Roman" w:hAnsi="Times New Roman"/>
          <w:sz w:val="24"/>
          <w:szCs w:val="24"/>
          <w:lang w:val="en-GB"/>
        </w:rPr>
        <w:t xml:space="preserve">In addition, it is difficult to compare the credit risk of very granular portfolios (mainly retail borrowers) which are by essence measured with statistical approaches, to </w:t>
      </w:r>
      <w:r w:rsidR="007D64F5">
        <w:rPr>
          <w:rFonts w:ascii="Times New Roman" w:hAnsi="Times New Roman"/>
          <w:sz w:val="24"/>
          <w:szCs w:val="24"/>
          <w:lang w:val="en-GB"/>
        </w:rPr>
        <w:t xml:space="preserve">the </w:t>
      </w:r>
      <w:r w:rsidRPr="00F25A76">
        <w:rPr>
          <w:rFonts w:ascii="Times New Roman" w:hAnsi="Times New Roman"/>
          <w:sz w:val="24"/>
          <w:szCs w:val="24"/>
          <w:lang w:val="en-GB"/>
        </w:rPr>
        <w:t xml:space="preserve">credit risk of non-granular pools (e.g. CLOs, Commercial real estate, infrastructure projects, </w:t>
      </w:r>
      <w:r w:rsidR="007D64F5">
        <w:rPr>
          <w:rFonts w:ascii="Times New Roman" w:hAnsi="Times New Roman"/>
          <w:sz w:val="24"/>
          <w:szCs w:val="24"/>
          <w:lang w:val="en-GB"/>
        </w:rPr>
        <w:t>etc.</w:t>
      </w:r>
      <w:r w:rsidRPr="00F25A76">
        <w:rPr>
          <w:rFonts w:ascii="Times New Roman" w:hAnsi="Times New Roman"/>
          <w:sz w:val="24"/>
          <w:szCs w:val="24"/>
          <w:lang w:val="en-GB"/>
        </w:rPr>
        <w:t xml:space="preserve">) for which a very detailed credit analysis is thoroughly performed at individual loan level. </w:t>
      </w:r>
    </w:p>
    <w:p w14:paraId="74E69190" w14:textId="6BB25814" w:rsidR="00F25A76" w:rsidRPr="00F25A76" w:rsidRDefault="00F25A76" w:rsidP="00F25A76">
      <w:pPr>
        <w:jc w:val="both"/>
        <w:rPr>
          <w:rFonts w:ascii="Times New Roman" w:hAnsi="Times New Roman"/>
          <w:sz w:val="24"/>
          <w:szCs w:val="24"/>
          <w:lang w:val="en-GB"/>
        </w:rPr>
      </w:pPr>
      <w:r w:rsidRPr="00F25A76">
        <w:rPr>
          <w:rFonts w:ascii="Times New Roman" w:hAnsi="Times New Roman"/>
          <w:sz w:val="24"/>
          <w:szCs w:val="24"/>
          <w:lang w:val="en-GB"/>
        </w:rPr>
        <w:t>Therefore granularity should be considered a relevant factor determining credit risk only for specific consumer asset pools such as RMBS, consumer loans, small businesses loans  etc., which are concentrated in one country.</w:t>
      </w:r>
      <w:r w:rsidR="007D64F5">
        <w:rPr>
          <w:rFonts w:ascii="Times New Roman" w:hAnsi="Times New Roman"/>
          <w:sz w:val="24"/>
          <w:szCs w:val="24"/>
          <w:lang w:val="en-GB"/>
        </w:rPr>
        <w:t xml:space="preserve"> Moreover we believe that a threshold on individual </w:t>
      </w:r>
      <w:r w:rsidR="007D64F5">
        <w:rPr>
          <w:rFonts w:ascii="Times New Roman" w:hAnsi="Times New Roman"/>
          <w:sz w:val="24"/>
          <w:szCs w:val="24"/>
          <w:lang w:val="en-GB"/>
        </w:rPr>
        <w:lastRenderedPageBreak/>
        <w:t xml:space="preserve">exposures of 1% can be appropriate at inclusion of an asset (at origination or replenishment) but should not be a criterion during the life of a transaction. </w:t>
      </w:r>
    </w:p>
    <w:p w14:paraId="4C6B4137" w14:textId="5F15BA48" w:rsidR="00F25A76" w:rsidRPr="00F25A76" w:rsidRDefault="00F25A76" w:rsidP="00F25A76">
      <w:pPr>
        <w:jc w:val="both"/>
        <w:rPr>
          <w:rFonts w:ascii="Times New Roman" w:hAnsi="Times New Roman"/>
          <w:sz w:val="24"/>
          <w:szCs w:val="24"/>
          <w:lang w:val="en-GB"/>
        </w:rPr>
      </w:pPr>
      <w:r w:rsidRPr="00F25A76">
        <w:rPr>
          <w:rFonts w:ascii="Times New Roman" w:hAnsi="Times New Roman"/>
          <w:sz w:val="24"/>
          <w:szCs w:val="24"/>
          <w:lang w:val="en-GB"/>
        </w:rPr>
        <w:t xml:space="preserve">For other asset pools such as corporates and SMEs, granularity </w:t>
      </w:r>
      <w:r w:rsidR="007D64F5">
        <w:rPr>
          <w:rFonts w:ascii="Times New Roman" w:hAnsi="Times New Roman"/>
          <w:sz w:val="24"/>
          <w:szCs w:val="24"/>
          <w:lang w:val="en-GB"/>
        </w:rPr>
        <w:t xml:space="preserve">per se </w:t>
      </w:r>
      <w:r w:rsidRPr="00F25A76">
        <w:rPr>
          <w:rFonts w:ascii="Times New Roman" w:hAnsi="Times New Roman"/>
          <w:sz w:val="24"/>
          <w:szCs w:val="24"/>
          <w:lang w:val="en-GB"/>
        </w:rPr>
        <w:t xml:space="preserve">is less relevant, and should not be </w:t>
      </w:r>
      <w:r w:rsidR="007D64F5">
        <w:rPr>
          <w:rFonts w:ascii="Times New Roman" w:hAnsi="Times New Roman"/>
          <w:sz w:val="24"/>
          <w:szCs w:val="24"/>
          <w:lang w:val="en-GB"/>
        </w:rPr>
        <w:t>considered the main driver of risk of the underlying but would better be considered in conjunction with other diversification indicators</w:t>
      </w:r>
      <w:r w:rsidR="007D64F5" w:rsidRPr="00F25A76">
        <w:rPr>
          <w:rFonts w:ascii="Times New Roman" w:hAnsi="Times New Roman"/>
          <w:sz w:val="24"/>
          <w:szCs w:val="24"/>
          <w:lang w:val="en-GB"/>
        </w:rPr>
        <w:t>.</w:t>
      </w:r>
      <w:r w:rsidR="007D64F5">
        <w:rPr>
          <w:rFonts w:ascii="Times New Roman" w:hAnsi="Times New Roman"/>
          <w:sz w:val="24"/>
          <w:szCs w:val="24"/>
          <w:lang w:val="en-GB"/>
        </w:rPr>
        <w:t xml:space="preserve"> As such, the individual exposure threshold could also be less stringent</w:t>
      </w:r>
      <w:r w:rsidRPr="00F25A76">
        <w:rPr>
          <w:rFonts w:ascii="Times New Roman" w:hAnsi="Times New Roman"/>
          <w:sz w:val="24"/>
          <w:szCs w:val="24"/>
          <w:lang w:val="en-GB"/>
        </w:rPr>
        <w:t xml:space="preserve">. </w:t>
      </w:r>
    </w:p>
    <w:p w14:paraId="49B1B738" w14:textId="5F985264" w:rsidR="00F25A76" w:rsidRPr="00F25A76" w:rsidRDefault="00F25A76" w:rsidP="00F25A76">
      <w:pPr>
        <w:jc w:val="both"/>
        <w:rPr>
          <w:rFonts w:ascii="Times New Roman" w:hAnsi="Times New Roman"/>
          <w:sz w:val="24"/>
          <w:szCs w:val="24"/>
          <w:lang w:val="en-GB"/>
        </w:rPr>
      </w:pPr>
      <w:r w:rsidRPr="00F25A76">
        <w:rPr>
          <w:rFonts w:ascii="Times New Roman" w:hAnsi="Times New Roman"/>
          <w:sz w:val="24"/>
          <w:szCs w:val="24"/>
          <w:lang w:val="en-GB"/>
        </w:rPr>
        <w:t xml:space="preserve">Only about 40% of the SME securitisations issued in the past 2 years in Europe (rated by Fitch) would pass the </w:t>
      </w:r>
      <w:r w:rsidR="007D64F5">
        <w:rPr>
          <w:rFonts w:ascii="Times New Roman" w:hAnsi="Times New Roman"/>
          <w:sz w:val="24"/>
          <w:szCs w:val="24"/>
          <w:lang w:val="en-GB"/>
        </w:rPr>
        <w:t xml:space="preserve">proposed </w:t>
      </w:r>
      <w:r w:rsidRPr="00F25A76">
        <w:rPr>
          <w:rFonts w:ascii="Times New Roman" w:hAnsi="Times New Roman"/>
          <w:sz w:val="24"/>
          <w:szCs w:val="24"/>
          <w:lang w:val="en-GB"/>
        </w:rPr>
        <w:t xml:space="preserve">top borrower concentration criterion. For SMEs and CLOs, </w:t>
      </w:r>
      <w:r w:rsidR="007D64F5">
        <w:rPr>
          <w:rFonts w:ascii="Times New Roman" w:hAnsi="Times New Roman"/>
          <w:sz w:val="24"/>
          <w:szCs w:val="24"/>
          <w:lang w:val="en-GB"/>
        </w:rPr>
        <w:t xml:space="preserve">not only </w:t>
      </w:r>
      <w:r w:rsidRPr="00F25A76">
        <w:rPr>
          <w:rFonts w:ascii="Times New Roman" w:hAnsi="Times New Roman"/>
          <w:sz w:val="24"/>
          <w:szCs w:val="24"/>
          <w:lang w:val="en-GB"/>
        </w:rPr>
        <w:t xml:space="preserve">the threshold for individual borrower exposure should be raised to 3%, but it could </w:t>
      </w:r>
      <w:r w:rsidR="007D64F5">
        <w:rPr>
          <w:rFonts w:ascii="Times New Roman" w:hAnsi="Times New Roman"/>
          <w:sz w:val="24"/>
          <w:szCs w:val="24"/>
          <w:lang w:val="en-GB"/>
        </w:rPr>
        <w:t xml:space="preserve">also </w:t>
      </w:r>
      <w:r w:rsidRPr="00F25A76">
        <w:rPr>
          <w:rFonts w:ascii="Times New Roman" w:hAnsi="Times New Roman"/>
          <w:sz w:val="24"/>
          <w:szCs w:val="24"/>
          <w:lang w:val="en-GB"/>
        </w:rPr>
        <w:t xml:space="preserve">be </w:t>
      </w:r>
      <w:r w:rsidR="007D64F5">
        <w:rPr>
          <w:rFonts w:ascii="Times New Roman" w:hAnsi="Times New Roman"/>
          <w:sz w:val="24"/>
          <w:szCs w:val="24"/>
          <w:lang w:val="en-GB"/>
        </w:rPr>
        <w:t xml:space="preserve">considered </w:t>
      </w:r>
      <w:r w:rsidRPr="00F25A76">
        <w:rPr>
          <w:rFonts w:ascii="Times New Roman" w:hAnsi="Times New Roman"/>
          <w:sz w:val="24"/>
          <w:szCs w:val="24"/>
          <w:lang w:val="en-GB"/>
        </w:rPr>
        <w:t xml:space="preserve">in conjunction </w:t>
      </w:r>
      <w:r w:rsidR="007D64F5">
        <w:rPr>
          <w:rFonts w:ascii="Times New Roman" w:hAnsi="Times New Roman"/>
          <w:sz w:val="24"/>
          <w:szCs w:val="24"/>
          <w:lang w:val="en-GB"/>
        </w:rPr>
        <w:t>with</w:t>
      </w:r>
      <w:r w:rsidRPr="00F25A76">
        <w:rPr>
          <w:rFonts w:ascii="Times New Roman" w:hAnsi="Times New Roman"/>
          <w:sz w:val="24"/>
          <w:szCs w:val="24"/>
          <w:lang w:val="en-GB"/>
        </w:rPr>
        <w:t xml:space="preserve"> thresholds criteria for geographic and industry concentration.</w:t>
      </w:r>
    </w:p>
    <w:p w14:paraId="41CEA9D3" w14:textId="77777777" w:rsidR="00F25A76" w:rsidRPr="00F25A76" w:rsidRDefault="00F25A76" w:rsidP="00F25A76">
      <w:pPr>
        <w:jc w:val="both"/>
        <w:rPr>
          <w:rFonts w:ascii="Times New Roman" w:hAnsi="Times New Roman"/>
          <w:sz w:val="24"/>
          <w:szCs w:val="24"/>
          <w:lang w:val="en-GB"/>
        </w:rPr>
      </w:pPr>
      <w:r w:rsidRPr="00F25A76">
        <w:rPr>
          <w:rFonts w:ascii="Times New Roman" w:hAnsi="Times New Roman"/>
          <w:sz w:val="24"/>
          <w:szCs w:val="24"/>
          <w:lang w:val="en-GB"/>
        </w:rPr>
        <w:t>For example: top 3 industries weight less than [50%] of the total, and no more than [20%] for the top industry.</w:t>
      </w:r>
    </w:p>
    <w:p w14:paraId="2BB72DD4" w14:textId="10A31FCF" w:rsidR="007D64F5" w:rsidRPr="00F25A76" w:rsidRDefault="00F25A76" w:rsidP="00F25A76">
      <w:pPr>
        <w:jc w:val="both"/>
        <w:rPr>
          <w:rFonts w:ascii="Times New Roman" w:hAnsi="Times New Roman"/>
          <w:sz w:val="24"/>
          <w:szCs w:val="24"/>
          <w:lang w:val="en-GB"/>
        </w:rPr>
      </w:pPr>
      <w:r w:rsidRPr="00F25A76">
        <w:rPr>
          <w:rFonts w:ascii="Times New Roman" w:hAnsi="Times New Roman"/>
          <w:sz w:val="24"/>
          <w:szCs w:val="24"/>
          <w:lang w:val="en-GB"/>
        </w:rPr>
        <w:t>European Trade receivables and lease transactions may also have top borrower concentrations above 1%. In the case of trade receivables, the short maturity and other simple subordination / credit enhancement  reduce the risk so that there has been no loss on European securitisation deals.</w:t>
      </w:r>
    </w:p>
    <w:p w14:paraId="7ECCA0C8" w14:textId="719DB84B" w:rsidR="00152440" w:rsidRPr="009B5E31" w:rsidRDefault="007D64F5" w:rsidP="00F25A76">
      <w:pPr>
        <w:jc w:val="both"/>
        <w:rPr>
          <w:rFonts w:ascii="Times New Roman" w:hAnsi="Times New Roman"/>
          <w:sz w:val="24"/>
          <w:szCs w:val="24"/>
          <w:lang w:val="en-GB"/>
        </w:rPr>
      </w:pPr>
      <w:r>
        <w:rPr>
          <w:rFonts w:ascii="Times New Roman" w:hAnsi="Times New Roman"/>
          <w:sz w:val="24"/>
          <w:szCs w:val="24"/>
          <w:lang w:val="en-GB"/>
        </w:rPr>
        <w:t>As apparent from the above, t</w:t>
      </w:r>
      <w:r w:rsidR="00F25A76" w:rsidRPr="00F25A76">
        <w:rPr>
          <w:rFonts w:ascii="Times New Roman" w:hAnsi="Times New Roman"/>
          <w:sz w:val="24"/>
          <w:szCs w:val="24"/>
          <w:lang w:val="en-GB"/>
        </w:rPr>
        <w:t xml:space="preserve">he 1% </w:t>
      </w:r>
      <w:r>
        <w:rPr>
          <w:rFonts w:ascii="Times New Roman" w:hAnsi="Times New Roman"/>
          <w:sz w:val="24"/>
          <w:szCs w:val="24"/>
          <w:lang w:val="en-GB"/>
        </w:rPr>
        <w:t xml:space="preserve">individual exposure </w:t>
      </w:r>
      <w:r w:rsidR="00F25A76" w:rsidRPr="00F25A76">
        <w:rPr>
          <w:rFonts w:ascii="Times New Roman" w:hAnsi="Times New Roman"/>
          <w:sz w:val="24"/>
          <w:szCs w:val="24"/>
          <w:lang w:val="en-GB"/>
        </w:rPr>
        <w:t>threshold can be an obstacle in some cases to structure efficient risk sharing transactions on large corporates, and on special asset classes (e.g. infrastructure finance, trade finance, etc.)</w:t>
      </w:r>
      <w:r>
        <w:rPr>
          <w:rFonts w:ascii="Times New Roman" w:hAnsi="Times New Roman"/>
          <w:sz w:val="24"/>
          <w:szCs w:val="24"/>
          <w:lang w:val="en-GB"/>
        </w:rPr>
        <w:t xml:space="preserve"> also due to granularity’s limited explanatory power of the underlying’s risk</w:t>
      </w:r>
      <w:r w:rsidR="00F25A76">
        <w:rPr>
          <w:rFonts w:ascii="Times New Roman" w:hAnsi="Times New Roman"/>
          <w:sz w:val="24"/>
          <w:szCs w:val="24"/>
          <w:lang w:val="en-GB"/>
        </w:rPr>
        <w:t xml:space="preserve">. </w:t>
      </w:r>
    </w:p>
    <w:p w14:paraId="5A3E4EDC" w14:textId="28D61A5B" w:rsidR="00152440" w:rsidRDefault="00152440" w:rsidP="004B62DE">
      <w:pPr>
        <w:jc w:val="both"/>
        <w:rPr>
          <w:rFonts w:ascii="Times New Roman" w:hAnsi="Times New Roman"/>
          <w:sz w:val="24"/>
          <w:szCs w:val="24"/>
          <w:lang w:val="en-GB"/>
        </w:rPr>
      </w:pPr>
      <w:r>
        <w:rPr>
          <w:rFonts w:ascii="Times New Roman" w:hAnsi="Times New Roman"/>
          <w:sz w:val="24"/>
          <w:szCs w:val="24"/>
          <w:lang w:val="en-GB"/>
        </w:rPr>
        <w:t>It could be mo</w:t>
      </w:r>
      <w:r w:rsidRPr="009B5E31">
        <w:rPr>
          <w:rFonts w:ascii="Times New Roman" w:hAnsi="Times New Roman"/>
          <w:sz w:val="24"/>
          <w:szCs w:val="24"/>
          <w:lang w:val="en-GB"/>
        </w:rPr>
        <w:t xml:space="preserve">re appropriate to </w:t>
      </w:r>
      <w:r>
        <w:rPr>
          <w:rFonts w:ascii="Times New Roman" w:hAnsi="Times New Roman"/>
          <w:sz w:val="24"/>
          <w:szCs w:val="24"/>
          <w:lang w:val="en-GB"/>
        </w:rPr>
        <w:t>use</w:t>
      </w:r>
      <w:r w:rsidRPr="009B5E31">
        <w:rPr>
          <w:rFonts w:ascii="Times New Roman" w:hAnsi="Times New Roman"/>
          <w:sz w:val="24"/>
          <w:szCs w:val="24"/>
          <w:lang w:val="en-GB"/>
        </w:rPr>
        <w:t xml:space="preserve"> a floor valid across all asset classes</w:t>
      </w:r>
      <w:r>
        <w:rPr>
          <w:rFonts w:ascii="Times New Roman" w:hAnsi="Times New Roman"/>
          <w:sz w:val="24"/>
          <w:szCs w:val="24"/>
          <w:lang w:val="en-GB"/>
        </w:rPr>
        <w:t>. It c</w:t>
      </w:r>
      <w:r w:rsidRPr="009B5E31">
        <w:rPr>
          <w:rFonts w:ascii="Times New Roman" w:hAnsi="Times New Roman"/>
          <w:sz w:val="24"/>
          <w:szCs w:val="24"/>
          <w:lang w:val="en-GB"/>
        </w:rPr>
        <w:t>ould be an index measuring the diversification of the collateral pool</w:t>
      </w:r>
      <w:r>
        <w:rPr>
          <w:rFonts w:ascii="Times New Roman" w:hAnsi="Times New Roman"/>
          <w:sz w:val="24"/>
          <w:szCs w:val="24"/>
          <w:lang w:val="en-GB"/>
        </w:rPr>
        <w:t>,</w:t>
      </w:r>
      <w:r w:rsidRPr="009B5E31">
        <w:rPr>
          <w:rFonts w:ascii="Times New Roman" w:hAnsi="Times New Roman"/>
          <w:sz w:val="24"/>
          <w:szCs w:val="24"/>
          <w:lang w:val="en-GB"/>
        </w:rPr>
        <w:t xml:space="preserve"> such as the inverse of the Herfindhal index used in the determination of the N parameter in the SFA. In this way pool collateral diversification could still be ensured without limiting the exposure of every single loan.</w:t>
      </w:r>
      <w:r w:rsidR="004B62DE">
        <w:rPr>
          <w:rFonts w:ascii="Times New Roman" w:hAnsi="Times New Roman"/>
          <w:sz w:val="24"/>
          <w:szCs w:val="24"/>
          <w:lang w:val="en-GB"/>
        </w:rPr>
        <w:t xml:space="preserve"> </w:t>
      </w:r>
      <w:r>
        <w:rPr>
          <w:rFonts w:ascii="Times New Roman" w:hAnsi="Times New Roman"/>
          <w:sz w:val="24"/>
          <w:szCs w:val="24"/>
          <w:lang w:val="en-GB"/>
        </w:rPr>
        <w:t xml:space="preserve"> </w:t>
      </w:r>
      <w:r w:rsidRPr="009B5E31">
        <w:rPr>
          <w:rFonts w:ascii="Times New Roman" w:hAnsi="Times New Roman"/>
          <w:sz w:val="24"/>
          <w:szCs w:val="24"/>
          <w:lang w:val="en-GB"/>
        </w:rPr>
        <w:t xml:space="preserve">  </w:t>
      </w:r>
    </w:p>
    <w:p w14:paraId="23642CA2" w14:textId="77777777" w:rsidR="00152440" w:rsidRPr="00A72747" w:rsidRDefault="00152440" w:rsidP="00152440">
      <w:pPr>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52440" w:rsidRPr="00C75151" w14:paraId="0A309EE0" w14:textId="77777777" w:rsidTr="00022249">
        <w:tc>
          <w:tcPr>
            <w:tcW w:w="9212" w:type="dxa"/>
          </w:tcPr>
          <w:p w14:paraId="55110D1B" w14:textId="77777777" w:rsidR="00152440" w:rsidRPr="00A45623" w:rsidRDefault="00152440" w:rsidP="00022249">
            <w:pPr>
              <w:spacing w:before="120"/>
              <w:jc w:val="both"/>
              <w:rPr>
                <w:rFonts w:ascii="Times New Roman" w:hAnsi="Times New Roman"/>
                <w:b/>
                <w:sz w:val="24"/>
                <w:szCs w:val="24"/>
                <w:lang w:val="en-GB"/>
              </w:rPr>
            </w:pPr>
            <w:r>
              <w:rPr>
                <w:rFonts w:ascii="Times New Roman" w:hAnsi="Times New Roman"/>
                <w:b/>
                <w:sz w:val="24"/>
                <w:szCs w:val="24"/>
                <w:lang w:val="en-GB"/>
              </w:rPr>
              <w:t xml:space="preserve">Question 8: </w:t>
            </w:r>
            <w:r w:rsidRPr="00C64092">
              <w:rPr>
                <w:rFonts w:ascii="Times New Roman" w:hAnsi="Times New Roman"/>
                <w:b/>
                <w:sz w:val="24"/>
                <w:szCs w:val="24"/>
                <w:lang w:val="en-GB"/>
              </w:rPr>
              <w:t>Do you agree with the proposed criteria defining simple standard and transparent securitisations? Do you agree with the proposed credit risk criteria? Should any other criteria be considered?</w:t>
            </w:r>
            <w:r>
              <w:rPr>
                <w:rFonts w:ascii="Times New Roman" w:hAnsi="Times New Roman"/>
                <w:b/>
                <w:sz w:val="24"/>
                <w:szCs w:val="24"/>
                <w:lang w:val="en-GB"/>
              </w:rPr>
              <w:t xml:space="preserve"> </w:t>
            </w:r>
          </w:p>
        </w:tc>
      </w:tr>
    </w:tbl>
    <w:p w14:paraId="064BB798" w14:textId="77777777" w:rsidR="00152440" w:rsidRPr="00A72747" w:rsidRDefault="00152440" w:rsidP="00152440">
      <w:pPr>
        <w:jc w:val="both"/>
        <w:rPr>
          <w:rFonts w:ascii="Times New Roman" w:hAnsi="Times New Roman"/>
          <w:sz w:val="24"/>
          <w:szCs w:val="24"/>
          <w:lang w:val="en-GB"/>
        </w:rPr>
      </w:pPr>
    </w:p>
    <w:p w14:paraId="21CEE8E2" w14:textId="77777777" w:rsidR="00152440" w:rsidRDefault="00152440" w:rsidP="00152440">
      <w:pPr>
        <w:jc w:val="both"/>
        <w:rPr>
          <w:rFonts w:ascii="Times New Roman" w:hAnsi="Times New Roman"/>
          <w:sz w:val="24"/>
          <w:szCs w:val="24"/>
          <w:lang w:val="en-GB"/>
        </w:rPr>
      </w:pPr>
      <w:r w:rsidRPr="00A72747">
        <w:rPr>
          <w:rFonts w:ascii="Times New Roman" w:hAnsi="Times New Roman"/>
          <w:sz w:val="24"/>
          <w:szCs w:val="24"/>
          <w:lang w:val="en-GB"/>
        </w:rPr>
        <w:t>We agree with</w:t>
      </w:r>
      <w:r>
        <w:rPr>
          <w:rFonts w:ascii="Times New Roman" w:hAnsi="Times New Roman"/>
          <w:sz w:val="24"/>
          <w:szCs w:val="24"/>
          <w:lang w:val="en-GB"/>
        </w:rPr>
        <w:t xml:space="preserve"> the proposed criteria with the following caveats: </w:t>
      </w:r>
    </w:p>
    <w:p w14:paraId="19C8F574" w14:textId="77777777" w:rsidR="00152440" w:rsidRDefault="00152440" w:rsidP="00152440">
      <w:pPr>
        <w:jc w:val="both"/>
        <w:rPr>
          <w:rFonts w:ascii="Times New Roman" w:hAnsi="Times New Roman"/>
          <w:sz w:val="24"/>
          <w:szCs w:val="24"/>
          <w:lang w:val="en-GB"/>
        </w:rPr>
      </w:pPr>
      <w:r>
        <w:rPr>
          <w:rFonts w:ascii="Times New Roman" w:hAnsi="Times New Roman"/>
          <w:sz w:val="24"/>
          <w:szCs w:val="24"/>
          <w:lang w:val="en-GB"/>
        </w:rPr>
        <w:t>Pillar I: Simple securitisations</w:t>
      </w:r>
    </w:p>
    <w:p w14:paraId="4D7D2454" w14:textId="77777777" w:rsidR="00152440" w:rsidRDefault="00152440" w:rsidP="00152440">
      <w:pPr>
        <w:numPr>
          <w:ilvl w:val="0"/>
          <w:numId w:val="11"/>
        </w:numPr>
        <w:jc w:val="both"/>
        <w:rPr>
          <w:rFonts w:ascii="Times New Roman" w:hAnsi="Times New Roman"/>
          <w:sz w:val="24"/>
          <w:szCs w:val="24"/>
          <w:lang w:val="en-GB"/>
        </w:rPr>
      </w:pPr>
      <w:r w:rsidRPr="00175279">
        <w:rPr>
          <w:rFonts w:ascii="Times New Roman" w:hAnsi="Times New Roman"/>
          <w:sz w:val="24"/>
          <w:szCs w:val="24"/>
          <w:lang w:val="en-GB"/>
        </w:rPr>
        <w:t>Criterion 1: We question the statement that most synthetic structures add to the complexity of the securitisation in terms of counterparty credit risk and risk modelling (see answer to Question 2 above).</w:t>
      </w:r>
      <w:r>
        <w:rPr>
          <w:rFonts w:ascii="Times New Roman" w:hAnsi="Times New Roman"/>
          <w:sz w:val="24"/>
          <w:szCs w:val="24"/>
          <w:lang w:val="en-GB"/>
        </w:rPr>
        <w:t xml:space="preserve"> </w:t>
      </w:r>
    </w:p>
    <w:p w14:paraId="54E78567" w14:textId="18A8DBD0" w:rsidR="00152440" w:rsidRDefault="00152440" w:rsidP="006D53C7">
      <w:pPr>
        <w:numPr>
          <w:ilvl w:val="0"/>
          <w:numId w:val="11"/>
        </w:numPr>
        <w:jc w:val="both"/>
        <w:rPr>
          <w:rFonts w:ascii="Times New Roman" w:hAnsi="Times New Roman"/>
          <w:sz w:val="24"/>
          <w:szCs w:val="24"/>
          <w:lang w:val="en-GB"/>
        </w:rPr>
      </w:pPr>
      <w:r w:rsidRPr="00175279">
        <w:rPr>
          <w:rFonts w:ascii="Times New Roman" w:hAnsi="Times New Roman"/>
          <w:sz w:val="24"/>
          <w:szCs w:val="24"/>
          <w:lang w:val="en-GB"/>
        </w:rPr>
        <w:t>Criterion 2: We suggest review</w:t>
      </w:r>
      <w:r>
        <w:rPr>
          <w:rFonts w:ascii="Times New Roman" w:hAnsi="Times New Roman"/>
          <w:sz w:val="24"/>
          <w:szCs w:val="24"/>
          <w:lang w:val="en-GB"/>
        </w:rPr>
        <w:t>ing</w:t>
      </w:r>
      <w:r w:rsidRPr="00175279">
        <w:rPr>
          <w:rFonts w:ascii="Times New Roman" w:hAnsi="Times New Roman"/>
          <w:sz w:val="24"/>
          <w:szCs w:val="24"/>
          <w:lang w:val="en-GB"/>
        </w:rPr>
        <w:t xml:space="preserve"> the wording to read as follows: “The securitisation should not be characterised by an active portfolio management on a discretionary basis. Assets transferred to a securitisation should be whole portfolios of eligible exposures satisfying eligibility criteria </w:t>
      </w:r>
      <w:r w:rsidR="006D53C7">
        <w:rPr>
          <w:rFonts w:ascii="Times New Roman" w:hAnsi="Times New Roman"/>
          <w:sz w:val="24"/>
          <w:szCs w:val="24"/>
          <w:lang w:val="en-GB"/>
        </w:rPr>
        <w:t xml:space="preserve">(including portfolio replenishment criteria) </w:t>
      </w:r>
      <w:r w:rsidRPr="00175279">
        <w:rPr>
          <w:rFonts w:ascii="Times New Roman" w:hAnsi="Times New Roman"/>
          <w:sz w:val="24"/>
          <w:szCs w:val="24"/>
          <w:lang w:val="en-GB"/>
        </w:rPr>
        <w:t>or should be randomly selected from those satisfying eligibility criteria.</w:t>
      </w:r>
      <w:r>
        <w:rPr>
          <w:rFonts w:ascii="Times New Roman" w:hAnsi="Times New Roman"/>
          <w:sz w:val="24"/>
          <w:szCs w:val="24"/>
          <w:lang w:val="en-GB"/>
        </w:rPr>
        <w:t xml:space="preserve"> </w:t>
      </w:r>
      <w:r w:rsidR="006D53C7" w:rsidRPr="006D53C7">
        <w:rPr>
          <w:rFonts w:ascii="Times New Roman" w:hAnsi="Times New Roman"/>
          <w:sz w:val="24"/>
          <w:szCs w:val="24"/>
          <w:lang w:val="en-GB"/>
        </w:rPr>
        <w:lastRenderedPageBreak/>
        <w:t>Substitution of exposures that are in breach of representations and warranties should in principle not be considered</w:t>
      </w:r>
      <w:r w:rsidR="006D53C7">
        <w:rPr>
          <w:rFonts w:ascii="Times New Roman" w:hAnsi="Times New Roman"/>
          <w:sz w:val="24"/>
          <w:szCs w:val="24"/>
          <w:lang w:val="en-GB"/>
        </w:rPr>
        <w:t xml:space="preserve"> as active portfolio management</w:t>
      </w:r>
      <w:r w:rsidR="006D53C7" w:rsidRPr="006D53C7">
        <w:rPr>
          <w:rFonts w:ascii="Times New Roman" w:hAnsi="Times New Roman"/>
          <w:sz w:val="24"/>
          <w:szCs w:val="24"/>
          <w:lang w:val="en-GB"/>
        </w:rPr>
        <w:t>.</w:t>
      </w:r>
      <w:r w:rsidR="004B62DE">
        <w:rPr>
          <w:rFonts w:ascii="Times New Roman" w:hAnsi="Times New Roman"/>
          <w:sz w:val="24"/>
          <w:szCs w:val="24"/>
          <w:lang w:val="en-GB"/>
        </w:rPr>
        <w:t xml:space="preserve"> </w:t>
      </w:r>
    </w:p>
    <w:p w14:paraId="26E01E55" w14:textId="3CA84307" w:rsidR="004B62DE" w:rsidRPr="00F25A76" w:rsidRDefault="004B62DE" w:rsidP="0009302E">
      <w:pPr>
        <w:ind w:left="993"/>
        <w:jc w:val="both"/>
        <w:rPr>
          <w:rFonts w:ascii="Times New Roman" w:hAnsi="Times New Roman"/>
          <w:sz w:val="24"/>
          <w:szCs w:val="24"/>
          <w:lang w:val="en-GB"/>
        </w:rPr>
      </w:pPr>
      <w:r w:rsidRPr="00F25A76">
        <w:rPr>
          <w:rFonts w:ascii="Times New Roman" w:hAnsi="Times New Roman"/>
          <w:sz w:val="24"/>
          <w:szCs w:val="24"/>
          <w:lang w:val="en-GB"/>
        </w:rPr>
        <w:t>The prohibition of cherry picking should not exclude the compliance to eligibility criteria which could increase or reduce credit risk of the asset pool compared to the overall originator’s portfolio. In particular, there are cases where an originator may want to securitise more risky assets (e</w:t>
      </w:r>
      <w:r>
        <w:rPr>
          <w:rFonts w:ascii="Times New Roman" w:hAnsi="Times New Roman"/>
          <w:sz w:val="24"/>
          <w:szCs w:val="24"/>
          <w:lang w:val="en-GB"/>
        </w:rPr>
        <w:t>.</w:t>
      </w:r>
      <w:r w:rsidRPr="00F25A76">
        <w:rPr>
          <w:rFonts w:ascii="Times New Roman" w:hAnsi="Times New Roman"/>
          <w:sz w:val="24"/>
          <w:szCs w:val="24"/>
          <w:lang w:val="en-GB"/>
        </w:rPr>
        <w:t>g</w:t>
      </w:r>
      <w:r>
        <w:rPr>
          <w:rFonts w:ascii="Times New Roman" w:hAnsi="Times New Roman"/>
          <w:sz w:val="24"/>
          <w:szCs w:val="24"/>
          <w:lang w:val="en-GB"/>
        </w:rPr>
        <w:t>.</w:t>
      </w:r>
      <w:r w:rsidRPr="00F25A76">
        <w:rPr>
          <w:rFonts w:ascii="Times New Roman" w:hAnsi="Times New Roman"/>
          <w:sz w:val="24"/>
          <w:szCs w:val="24"/>
          <w:lang w:val="en-GB"/>
        </w:rPr>
        <w:t xml:space="preserve"> LTVs above a threshold) in order to transfer risk, and thereby reduce risk of their portfolios.</w:t>
      </w:r>
    </w:p>
    <w:p w14:paraId="7EF8676F" w14:textId="77777777" w:rsidR="004B62DE" w:rsidRPr="00F25A76" w:rsidRDefault="004B62DE" w:rsidP="0009302E">
      <w:pPr>
        <w:ind w:left="993"/>
        <w:jc w:val="both"/>
        <w:rPr>
          <w:rFonts w:ascii="Times New Roman" w:hAnsi="Times New Roman"/>
          <w:sz w:val="24"/>
          <w:szCs w:val="24"/>
          <w:lang w:val="en-GB"/>
        </w:rPr>
      </w:pPr>
      <w:r w:rsidRPr="00F25A76">
        <w:rPr>
          <w:rFonts w:ascii="Times New Roman" w:hAnsi="Times New Roman"/>
          <w:sz w:val="24"/>
          <w:szCs w:val="24"/>
          <w:lang w:val="en-GB"/>
        </w:rPr>
        <w:t>What is important is that this is transparent and in the respect of the given eligibility criteria, there is no cherry picking on individual loans, or only to the benefit of the investor (improvement of the asset, for example to improve the quality of the data).</w:t>
      </w:r>
    </w:p>
    <w:p w14:paraId="501A367B" w14:textId="1AA5153F" w:rsidR="004B62DE" w:rsidRDefault="004B62DE" w:rsidP="0009302E">
      <w:pPr>
        <w:ind w:left="993"/>
        <w:jc w:val="both"/>
        <w:rPr>
          <w:rFonts w:ascii="Times New Roman" w:hAnsi="Times New Roman"/>
          <w:sz w:val="24"/>
          <w:szCs w:val="24"/>
          <w:lang w:val="en-GB"/>
        </w:rPr>
      </w:pPr>
      <w:r w:rsidRPr="00F25A76">
        <w:rPr>
          <w:rFonts w:ascii="Times New Roman" w:hAnsi="Times New Roman"/>
          <w:sz w:val="24"/>
          <w:szCs w:val="24"/>
          <w:lang w:val="en-GB"/>
        </w:rPr>
        <w:t>The securitisations for which the underlying asset pool is “cherry picked” or managed should not be excluded if it is clear in the eligibility criteria that the result of the management / cherry picking results in an improved pool of assets (e.g. replacement of an asset by a better rated asset).</w:t>
      </w:r>
    </w:p>
    <w:p w14:paraId="045E0E57" w14:textId="59122918" w:rsidR="004B62DE" w:rsidRDefault="004B62DE" w:rsidP="00152440">
      <w:pPr>
        <w:numPr>
          <w:ilvl w:val="0"/>
          <w:numId w:val="11"/>
        </w:numPr>
        <w:jc w:val="both"/>
        <w:rPr>
          <w:rFonts w:ascii="Times New Roman" w:hAnsi="Times New Roman"/>
          <w:sz w:val="24"/>
          <w:szCs w:val="24"/>
          <w:lang w:val="en-GB"/>
        </w:rPr>
      </w:pPr>
      <w:r>
        <w:rPr>
          <w:rFonts w:ascii="Times New Roman" w:hAnsi="Times New Roman"/>
          <w:sz w:val="24"/>
          <w:szCs w:val="24"/>
          <w:lang w:val="en-GB"/>
        </w:rPr>
        <w:t xml:space="preserve">Criterion 3: </w:t>
      </w:r>
    </w:p>
    <w:p w14:paraId="20543216" w14:textId="0347CAA1" w:rsidR="004B62DE" w:rsidRDefault="004B62DE" w:rsidP="0009302E">
      <w:pPr>
        <w:ind w:left="993"/>
        <w:jc w:val="both"/>
        <w:rPr>
          <w:rFonts w:ascii="Times New Roman" w:hAnsi="Times New Roman"/>
          <w:sz w:val="24"/>
          <w:szCs w:val="24"/>
          <w:lang w:val="en-GB"/>
        </w:rPr>
      </w:pPr>
      <w:r w:rsidRPr="00F25A76">
        <w:rPr>
          <w:rFonts w:ascii="Times New Roman" w:hAnsi="Times New Roman"/>
          <w:sz w:val="24"/>
          <w:szCs w:val="24"/>
          <w:lang w:val="en-GB"/>
        </w:rPr>
        <w:t>This criterion is not applicable for synthetic securitisations where true sale is not an issue.</w:t>
      </w:r>
      <w:r>
        <w:rPr>
          <w:rFonts w:ascii="Times New Roman" w:hAnsi="Times New Roman"/>
          <w:sz w:val="24"/>
          <w:szCs w:val="24"/>
          <w:lang w:val="en-GB"/>
        </w:rPr>
        <w:t xml:space="preserve"> </w:t>
      </w:r>
    </w:p>
    <w:p w14:paraId="50F5A6EB" w14:textId="77777777" w:rsidR="00152440" w:rsidRDefault="00152440" w:rsidP="00152440">
      <w:pPr>
        <w:numPr>
          <w:ilvl w:val="0"/>
          <w:numId w:val="11"/>
        </w:numPr>
        <w:jc w:val="both"/>
        <w:rPr>
          <w:rFonts w:ascii="Times New Roman" w:hAnsi="Times New Roman"/>
          <w:sz w:val="24"/>
          <w:szCs w:val="24"/>
          <w:lang w:val="en-GB"/>
        </w:rPr>
      </w:pPr>
      <w:r w:rsidRPr="00175279">
        <w:rPr>
          <w:rFonts w:ascii="Times New Roman" w:hAnsi="Times New Roman"/>
          <w:sz w:val="24"/>
          <w:szCs w:val="24"/>
          <w:lang w:val="en-GB"/>
        </w:rPr>
        <w:t>Criterion 4:</w:t>
      </w:r>
      <w:r>
        <w:rPr>
          <w:rFonts w:ascii="Times New Roman" w:hAnsi="Times New Roman"/>
          <w:sz w:val="24"/>
          <w:szCs w:val="24"/>
          <w:lang w:val="en-GB"/>
        </w:rPr>
        <w:t xml:space="preserve"> </w:t>
      </w:r>
    </w:p>
    <w:p w14:paraId="0940586D" w14:textId="569927C9" w:rsidR="007060FA" w:rsidRDefault="00152440" w:rsidP="0009302E">
      <w:pPr>
        <w:ind w:left="993"/>
        <w:jc w:val="both"/>
        <w:rPr>
          <w:rFonts w:ascii="Times New Roman" w:hAnsi="Times New Roman"/>
          <w:sz w:val="24"/>
          <w:szCs w:val="24"/>
          <w:lang w:val="en-GB"/>
        </w:rPr>
      </w:pPr>
      <w:r w:rsidRPr="00175279">
        <w:rPr>
          <w:rFonts w:ascii="Times New Roman" w:hAnsi="Times New Roman"/>
          <w:sz w:val="24"/>
          <w:szCs w:val="24"/>
          <w:lang w:val="en-GB"/>
        </w:rPr>
        <w:t xml:space="preserve">We note that as underwriting standards may be influenced by many external factors, it can be difficult to identify </w:t>
      </w:r>
      <w:r w:rsidR="006D53C7">
        <w:rPr>
          <w:rFonts w:ascii="Times New Roman" w:hAnsi="Times New Roman"/>
          <w:sz w:val="24"/>
          <w:szCs w:val="24"/>
          <w:lang w:val="en-GB"/>
        </w:rPr>
        <w:t xml:space="preserve">or check </w:t>
      </w:r>
      <w:r w:rsidRPr="00175279">
        <w:rPr>
          <w:rFonts w:ascii="Times New Roman" w:hAnsi="Times New Roman"/>
          <w:sz w:val="24"/>
          <w:szCs w:val="24"/>
          <w:lang w:val="en-GB"/>
        </w:rPr>
        <w:t>the criteria under which a deterioration would occur</w:t>
      </w:r>
      <w:r w:rsidR="007060FA">
        <w:rPr>
          <w:rFonts w:ascii="Times New Roman" w:hAnsi="Times New Roman"/>
          <w:sz w:val="24"/>
          <w:szCs w:val="24"/>
          <w:lang w:val="en-GB"/>
        </w:rPr>
        <w:t>.</w:t>
      </w:r>
      <w:r>
        <w:rPr>
          <w:rFonts w:ascii="Times New Roman" w:hAnsi="Times New Roman"/>
          <w:sz w:val="24"/>
          <w:szCs w:val="24"/>
          <w:lang w:val="en-GB"/>
        </w:rPr>
        <w:t xml:space="preserve"> </w:t>
      </w:r>
    </w:p>
    <w:p w14:paraId="301CD0F8" w14:textId="76474950" w:rsidR="007060FA" w:rsidRDefault="00152440" w:rsidP="0009302E">
      <w:pPr>
        <w:ind w:left="993"/>
        <w:jc w:val="both"/>
        <w:rPr>
          <w:rFonts w:ascii="Times New Roman" w:hAnsi="Times New Roman"/>
          <w:sz w:val="24"/>
          <w:szCs w:val="24"/>
          <w:lang w:val="en-GB"/>
        </w:rPr>
      </w:pPr>
      <w:r w:rsidRPr="00175279">
        <w:rPr>
          <w:rFonts w:ascii="Times New Roman" w:hAnsi="Times New Roman"/>
          <w:sz w:val="24"/>
          <w:szCs w:val="24"/>
          <w:lang w:val="en-GB"/>
        </w:rPr>
        <w:t>We believe that – as a matter of fact - it can be difficult to prove that the underlying exposure complies with the conditions laid down under this point.</w:t>
      </w:r>
      <w:r w:rsidRPr="00A72747">
        <w:rPr>
          <w:rFonts w:ascii="Times New Roman" w:hAnsi="Times New Roman"/>
          <w:sz w:val="24"/>
          <w:szCs w:val="24"/>
          <w:lang w:val="en-GB"/>
        </w:rPr>
        <w:t xml:space="preserve"> </w:t>
      </w:r>
    </w:p>
    <w:p w14:paraId="3E059C47" w14:textId="3C6AE31C" w:rsidR="006D53C7" w:rsidRDefault="006D53C7" w:rsidP="0009302E">
      <w:pPr>
        <w:ind w:left="993"/>
        <w:jc w:val="both"/>
        <w:rPr>
          <w:rFonts w:ascii="Times New Roman" w:hAnsi="Times New Roman"/>
          <w:sz w:val="24"/>
          <w:szCs w:val="24"/>
          <w:lang w:val="en-GB"/>
        </w:rPr>
      </w:pPr>
      <w:r>
        <w:rPr>
          <w:rFonts w:ascii="Times New Roman" w:hAnsi="Times New Roman"/>
          <w:sz w:val="24"/>
          <w:szCs w:val="24"/>
          <w:lang w:val="en-GB"/>
        </w:rPr>
        <w:t>T</w:t>
      </w:r>
      <w:r w:rsidRPr="006D53C7">
        <w:rPr>
          <w:rFonts w:ascii="Times New Roman" w:hAnsi="Times New Roman"/>
          <w:sz w:val="24"/>
          <w:szCs w:val="24"/>
          <w:lang w:val="en-GB"/>
        </w:rPr>
        <w:t>he reference to the reliance “on the refinancing of the underlying exposures” should be withdrawn</w:t>
      </w:r>
      <w:r w:rsidR="007060FA">
        <w:rPr>
          <w:rFonts w:ascii="Times New Roman" w:hAnsi="Times New Roman"/>
          <w:sz w:val="24"/>
          <w:szCs w:val="24"/>
          <w:lang w:val="en-GB"/>
        </w:rPr>
        <w:t xml:space="preserve">. </w:t>
      </w:r>
    </w:p>
    <w:p w14:paraId="69A8A0FD" w14:textId="061A2FCC" w:rsidR="00081D02" w:rsidRDefault="00081D02" w:rsidP="0009302E">
      <w:pPr>
        <w:ind w:left="993"/>
        <w:jc w:val="both"/>
        <w:rPr>
          <w:rFonts w:ascii="Times New Roman" w:hAnsi="Times New Roman"/>
          <w:sz w:val="24"/>
          <w:szCs w:val="24"/>
          <w:lang w:val="en-GB"/>
        </w:rPr>
      </w:pPr>
      <w:r w:rsidRPr="00081D02">
        <w:rPr>
          <w:rFonts w:ascii="Times New Roman" w:hAnsi="Times New Roman"/>
          <w:sz w:val="24"/>
          <w:szCs w:val="24"/>
          <w:lang w:val="en-GB"/>
        </w:rPr>
        <w:t>Referring to the residual value risk (4, iv) it is proposed “on the basis that the repayment necessary to repay the securitisation was not intended, in whole or in part, to be substantially reliant on the refinancing of the underlying exposures or re-sale value of the assets that are being financed by those underlying exposures”. The words “in whole or in part, to be substantially” should be replaced by the word “to be predominantly” to be consistent to the wording in the delegated act to the LCR which was the result of intense deliberations. Otherwise, many securitisations could be excluded due to the wording “in part”.</w:t>
      </w:r>
      <w:r>
        <w:rPr>
          <w:rFonts w:ascii="Times New Roman" w:hAnsi="Times New Roman"/>
          <w:sz w:val="24"/>
          <w:szCs w:val="24"/>
          <w:lang w:val="en-GB"/>
        </w:rPr>
        <w:t xml:space="preserve"> </w:t>
      </w:r>
    </w:p>
    <w:p w14:paraId="067ADC6F" w14:textId="300229D9" w:rsidR="007060FA" w:rsidRPr="00F25A76" w:rsidRDefault="007060FA" w:rsidP="0009302E">
      <w:pPr>
        <w:ind w:left="993"/>
        <w:jc w:val="both"/>
        <w:rPr>
          <w:rFonts w:ascii="Times New Roman" w:hAnsi="Times New Roman"/>
          <w:sz w:val="24"/>
          <w:szCs w:val="24"/>
          <w:lang w:val="en-GB"/>
        </w:rPr>
      </w:pPr>
      <w:r w:rsidRPr="00F25A76">
        <w:rPr>
          <w:rFonts w:ascii="Times New Roman" w:hAnsi="Times New Roman"/>
          <w:sz w:val="24"/>
          <w:szCs w:val="24"/>
          <w:lang w:val="en-GB"/>
        </w:rPr>
        <w:t>Credit exposure to Special Purpose Entities should not be excluded from the scope of eligible assets: If such definition covers securitisation vehicle, it covers also the specialised lending portfolio whose definition given by CRR does not imply complex enforceability (article 147 (8) (a) “the contractual arrangements give the lender a substantial degree of control over the assets and the income that they generate”)</w:t>
      </w:r>
      <w:r>
        <w:rPr>
          <w:rFonts w:ascii="Times New Roman" w:hAnsi="Times New Roman"/>
          <w:sz w:val="24"/>
          <w:szCs w:val="24"/>
          <w:lang w:val="en-GB"/>
        </w:rPr>
        <w:t xml:space="preserve">. </w:t>
      </w:r>
    </w:p>
    <w:p w14:paraId="21A4700A" w14:textId="76727053" w:rsidR="007060FA" w:rsidRDefault="007060FA" w:rsidP="0009302E">
      <w:pPr>
        <w:ind w:left="993"/>
        <w:jc w:val="both"/>
        <w:rPr>
          <w:rFonts w:ascii="Times New Roman" w:hAnsi="Times New Roman"/>
          <w:sz w:val="24"/>
          <w:szCs w:val="24"/>
          <w:lang w:val="en-GB"/>
        </w:rPr>
      </w:pPr>
      <w:r w:rsidRPr="00F25A76">
        <w:rPr>
          <w:rFonts w:ascii="Times New Roman" w:hAnsi="Times New Roman"/>
          <w:sz w:val="24"/>
          <w:szCs w:val="24"/>
          <w:lang w:val="en-GB"/>
        </w:rPr>
        <w:t xml:space="preserve">It is useful to specify that the required homogeneity in term of asset type does not imply that the exposure should be on a unique geography (national or regional) and </w:t>
      </w:r>
      <w:r w:rsidRPr="00F25A76">
        <w:rPr>
          <w:rFonts w:ascii="Times New Roman" w:hAnsi="Times New Roman"/>
          <w:sz w:val="24"/>
          <w:szCs w:val="24"/>
          <w:lang w:val="en-GB"/>
        </w:rPr>
        <w:lastRenderedPageBreak/>
        <w:t>industry</w:t>
      </w:r>
      <w:r>
        <w:rPr>
          <w:rFonts w:ascii="Times New Roman" w:hAnsi="Times New Roman"/>
          <w:sz w:val="24"/>
          <w:szCs w:val="24"/>
          <w:lang w:val="en-GB"/>
        </w:rPr>
        <w:t xml:space="preserve">. </w:t>
      </w:r>
      <w:r w:rsidR="00A748EF">
        <w:rPr>
          <w:rFonts w:ascii="Times New Roman" w:hAnsi="Times New Roman"/>
          <w:sz w:val="24"/>
          <w:szCs w:val="24"/>
          <w:lang w:val="en-GB"/>
        </w:rPr>
        <w:t xml:space="preserve">Pools of </w:t>
      </w:r>
      <w:r w:rsidR="00A748EF" w:rsidRPr="001528B3">
        <w:rPr>
          <w:rFonts w:ascii="Times New Roman" w:hAnsi="Times New Roman"/>
          <w:sz w:val="24"/>
          <w:szCs w:val="24"/>
          <w:lang w:val="en-GB"/>
        </w:rPr>
        <w:t>Trade receivables for example can contain assets of medium size corporates who export in other European countries</w:t>
      </w:r>
      <w:r w:rsidR="00A748EF">
        <w:rPr>
          <w:rFonts w:ascii="Times New Roman" w:hAnsi="Times New Roman"/>
          <w:sz w:val="24"/>
          <w:szCs w:val="24"/>
          <w:lang w:val="en-GB"/>
        </w:rPr>
        <w:t xml:space="preserve"> with no</w:t>
      </w:r>
      <w:r w:rsidR="00A748EF" w:rsidRPr="00AB5A2C">
        <w:rPr>
          <w:rFonts w:ascii="Times New Roman" w:hAnsi="Times New Roman"/>
          <w:sz w:val="24"/>
          <w:szCs w:val="24"/>
          <w:lang w:val="en-GB"/>
        </w:rPr>
        <w:t xml:space="preserve"> particular risk that should prevent such trade receivables to be SST. Similarly, multi currency assets should not be excluded when the FX risk is managed.</w:t>
      </w:r>
      <w:r w:rsidR="00A748EF">
        <w:rPr>
          <w:rFonts w:ascii="Times New Roman" w:hAnsi="Times New Roman"/>
          <w:sz w:val="24"/>
          <w:szCs w:val="24"/>
          <w:lang w:val="en-GB"/>
        </w:rPr>
        <w:t xml:space="preserve"> </w:t>
      </w:r>
    </w:p>
    <w:p w14:paraId="75E998DF" w14:textId="77777777" w:rsidR="006D53C7" w:rsidRDefault="006D53C7" w:rsidP="006D53C7">
      <w:pPr>
        <w:numPr>
          <w:ilvl w:val="0"/>
          <w:numId w:val="11"/>
        </w:numPr>
        <w:jc w:val="both"/>
        <w:rPr>
          <w:rFonts w:ascii="Times New Roman" w:hAnsi="Times New Roman"/>
          <w:sz w:val="24"/>
          <w:szCs w:val="24"/>
          <w:lang w:val="en-GB"/>
        </w:rPr>
      </w:pPr>
      <w:r>
        <w:rPr>
          <w:rFonts w:ascii="Times New Roman" w:hAnsi="Times New Roman"/>
          <w:sz w:val="24"/>
          <w:szCs w:val="24"/>
          <w:lang w:val="en-GB"/>
        </w:rPr>
        <w:t>Criterion 5:</w:t>
      </w:r>
    </w:p>
    <w:p w14:paraId="1D9A8AF1" w14:textId="4E33B32F" w:rsidR="006D53C7" w:rsidRDefault="006D53C7" w:rsidP="0009302E">
      <w:pPr>
        <w:ind w:left="993"/>
        <w:jc w:val="both"/>
        <w:rPr>
          <w:rFonts w:ascii="Times New Roman" w:hAnsi="Times New Roman"/>
          <w:sz w:val="24"/>
          <w:szCs w:val="24"/>
          <w:lang w:val="en-GB"/>
        </w:rPr>
      </w:pPr>
      <w:r>
        <w:rPr>
          <w:rFonts w:ascii="Times New Roman" w:hAnsi="Times New Roman"/>
          <w:sz w:val="24"/>
          <w:szCs w:val="24"/>
          <w:lang w:val="en-GB"/>
        </w:rPr>
        <w:t xml:space="preserve">As all elements relating to impaired borrowers as described in </w:t>
      </w:r>
      <w:r w:rsidR="00E64159">
        <w:rPr>
          <w:rFonts w:ascii="Times New Roman" w:hAnsi="Times New Roman"/>
          <w:sz w:val="24"/>
          <w:szCs w:val="24"/>
          <w:lang w:val="en-GB"/>
        </w:rPr>
        <w:t>(</w:t>
      </w:r>
      <w:r>
        <w:rPr>
          <w:rFonts w:ascii="Times New Roman" w:hAnsi="Times New Roman"/>
          <w:sz w:val="24"/>
          <w:szCs w:val="24"/>
          <w:lang w:val="en-GB"/>
        </w:rPr>
        <w:t>iii</w:t>
      </w:r>
      <w:r w:rsidR="00E64159">
        <w:rPr>
          <w:rFonts w:ascii="Times New Roman" w:hAnsi="Times New Roman"/>
          <w:sz w:val="24"/>
          <w:szCs w:val="24"/>
          <w:lang w:val="en-GB"/>
        </w:rPr>
        <w:t>)</w:t>
      </w:r>
      <w:r>
        <w:rPr>
          <w:rFonts w:ascii="Times New Roman" w:hAnsi="Times New Roman"/>
          <w:sz w:val="24"/>
          <w:szCs w:val="24"/>
          <w:lang w:val="en-GB"/>
        </w:rPr>
        <w:t xml:space="preserve"> cannot be checked, we propose to withdraw </w:t>
      </w:r>
      <w:r w:rsidR="00E64159">
        <w:rPr>
          <w:rFonts w:ascii="Times New Roman" w:hAnsi="Times New Roman"/>
          <w:sz w:val="24"/>
          <w:szCs w:val="24"/>
          <w:lang w:val="en-GB"/>
        </w:rPr>
        <w:t>(</w:t>
      </w:r>
      <w:r>
        <w:rPr>
          <w:rFonts w:ascii="Times New Roman" w:hAnsi="Times New Roman"/>
          <w:sz w:val="24"/>
          <w:szCs w:val="24"/>
          <w:lang w:val="en-GB"/>
        </w:rPr>
        <w:t>iii)</w:t>
      </w:r>
      <w:r w:rsidR="00E64159">
        <w:rPr>
          <w:rFonts w:ascii="Times New Roman" w:hAnsi="Times New Roman"/>
          <w:sz w:val="24"/>
          <w:szCs w:val="24"/>
          <w:lang w:val="en-GB"/>
        </w:rPr>
        <w:t xml:space="preserve">. </w:t>
      </w:r>
    </w:p>
    <w:p w14:paraId="1F53A17D" w14:textId="7D5821F5" w:rsidR="00E64159" w:rsidRDefault="00E64159" w:rsidP="0009302E">
      <w:pPr>
        <w:ind w:left="993"/>
        <w:jc w:val="both"/>
        <w:rPr>
          <w:rFonts w:ascii="Times New Roman" w:hAnsi="Times New Roman"/>
          <w:sz w:val="24"/>
          <w:szCs w:val="24"/>
          <w:lang w:val="en-GB"/>
        </w:rPr>
      </w:pPr>
      <w:r w:rsidRPr="00F25A76">
        <w:rPr>
          <w:rFonts w:ascii="Times New Roman" w:hAnsi="Times New Roman"/>
          <w:sz w:val="24"/>
          <w:szCs w:val="24"/>
          <w:lang w:val="en-GB"/>
        </w:rPr>
        <w:t xml:space="preserve">For sake of </w:t>
      </w:r>
      <w:r w:rsidR="003138B8">
        <w:rPr>
          <w:rFonts w:ascii="Times New Roman" w:hAnsi="Times New Roman"/>
          <w:sz w:val="24"/>
          <w:szCs w:val="24"/>
          <w:lang w:val="en-GB"/>
        </w:rPr>
        <w:t>consistency</w:t>
      </w:r>
      <w:r w:rsidRPr="00F25A76">
        <w:rPr>
          <w:rFonts w:ascii="Times New Roman" w:hAnsi="Times New Roman"/>
          <w:sz w:val="24"/>
          <w:szCs w:val="24"/>
          <w:lang w:val="en-GB"/>
        </w:rPr>
        <w:t xml:space="preserve">, the definition of default should be </w:t>
      </w:r>
      <w:r w:rsidR="003138B8">
        <w:rPr>
          <w:rFonts w:ascii="Times New Roman" w:hAnsi="Times New Roman"/>
          <w:sz w:val="24"/>
          <w:szCs w:val="24"/>
          <w:lang w:val="en-GB"/>
        </w:rPr>
        <w:t>aligned</w:t>
      </w:r>
      <w:r w:rsidRPr="00F25A76">
        <w:rPr>
          <w:rFonts w:ascii="Times New Roman" w:hAnsi="Times New Roman"/>
          <w:sz w:val="24"/>
          <w:szCs w:val="24"/>
          <w:lang w:val="en-GB"/>
        </w:rPr>
        <w:t xml:space="preserve"> with the definition of default of article 178 (1)</w:t>
      </w:r>
      <w:r w:rsidR="00FE7D0C">
        <w:rPr>
          <w:rFonts w:ascii="Times New Roman" w:hAnsi="Times New Roman"/>
          <w:sz w:val="24"/>
          <w:szCs w:val="24"/>
          <w:lang w:val="en-GB"/>
        </w:rPr>
        <w:t>.</w:t>
      </w:r>
      <w:r w:rsidRPr="00F25A76">
        <w:rPr>
          <w:rFonts w:ascii="Times New Roman" w:hAnsi="Times New Roman"/>
          <w:sz w:val="24"/>
          <w:szCs w:val="24"/>
          <w:lang w:val="en-GB"/>
        </w:rPr>
        <w:t xml:space="preserve"> Managing two definitions of default </w:t>
      </w:r>
      <w:r w:rsidR="003138B8">
        <w:rPr>
          <w:rFonts w:ascii="Times New Roman" w:hAnsi="Times New Roman"/>
          <w:sz w:val="24"/>
          <w:szCs w:val="24"/>
          <w:lang w:val="en-GB"/>
        </w:rPr>
        <w:t>w</w:t>
      </w:r>
      <w:r w:rsidRPr="00F25A76">
        <w:rPr>
          <w:rFonts w:ascii="Times New Roman" w:hAnsi="Times New Roman"/>
          <w:sz w:val="24"/>
          <w:szCs w:val="24"/>
          <w:lang w:val="en-GB"/>
        </w:rPr>
        <w:t>ould be burdensome and would not be consistent with the recommendations of the Basel Committee on the harmonisation of the definitions as requested in its guidelines (“Principles for effective risk data aggregation and risk reporting”)</w:t>
      </w:r>
      <w:r>
        <w:rPr>
          <w:rFonts w:ascii="Times New Roman" w:hAnsi="Times New Roman"/>
          <w:sz w:val="24"/>
          <w:szCs w:val="24"/>
          <w:lang w:val="en-GB"/>
        </w:rPr>
        <w:t xml:space="preserve">. </w:t>
      </w:r>
    </w:p>
    <w:p w14:paraId="72ADEE9F" w14:textId="77777777" w:rsidR="00081D02" w:rsidRDefault="00A748EF" w:rsidP="0009302E">
      <w:pPr>
        <w:ind w:left="993"/>
        <w:jc w:val="both"/>
        <w:rPr>
          <w:rFonts w:ascii="Times New Roman" w:hAnsi="Times New Roman"/>
          <w:sz w:val="24"/>
          <w:szCs w:val="24"/>
          <w:lang w:val="en-GB"/>
        </w:rPr>
      </w:pPr>
      <w:r w:rsidRPr="00AB5A2C">
        <w:rPr>
          <w:rFonts w:ascii="Times New Roman" w:hAnsi="Times New Roman"/>
          <w:sz w:val="24"/>
          <w:szCs w:val="24"/>
          <w:lang w:val="en-GB"/>
        </w:rPr>
        <w:t xml:space="preserve">In addition, late arrears or default should not be excluded from the underlying asset pools for SST if </w:t>
      </w:r>
      <w:r w:rsidRPr="002F56D4">
        <w:rPr>
          <w:rFonts w:ascii="Times New Roman" w:hAnsi="Times New Roman"/>
          <w:sz w:val="24"/>
          <w:szCs w:val="24"/>
          <w:lang w:val="en-GB"/>
        </w:rPr>
        <w:t>they are fully funded by the originator</w:t>
      </w:r>
      <w:r w:rsidRPr="001528B3">
        <w:rPr>
          <w:rFonts w:ascii="Times New Roman" w:hAnsi="Times New Roman"/>
          <w:sz w:val="24"/>
          <w:szCs w:val="24"/>
          <w:lang w:val="en-GB"/>
        </w:rPr>
        <w:t xml:space="preserve"> </w:t>
      </w:r>
      <w:r>
        <w:rPr>
          <w:rFonts w:ascii="Times New Roman" w:hAnsi="Times New Roman"/>
          <w:sz w:val="24"/>
          <w:szCs w:val="24"/>
          <w:lang w:val="en-GB"/>
        </w:rPr>
        <w:t>and not</w:t>
      </w:r>
      <w:r w:rsidRPr="00AB5A2C">
        <w:rPr>
          <w:rFonts w:ascii="Times New Roman" w:hAnsi="Times New Roman"/>
          <w:sz w:val="24"/>
          <w:szCs w:val="24"/>
          <w:lang w:val="en-GB"/>
        </w:rPr>
        <w:t xml:space="preserve"> by the notes</w:t>
      </w:r>
      <w:r>
        <w:rPr>
          <w:rFonts w:ascii="Times New Roman" w:hAnsi="Times New Roman"/>
          <w:sz w:val="24"/>
          <w:szCs w:val="24"/>
          <w:lang w:val="en-GB"/>
        </w:rPr>
        <w:t xml:space="preserve"> (cases in Trade receivable pools)</w:t>
      </w:r>
      <w:r w:rsidRPr="001528B3">
        <w:rPr>
          <w:rFonts w:ascii="Times New Roman" w:hAnsi="Times New Roman"/>
          <w:sz w:val="24"/>
          <w:szCs w:val="24"/>
          <w:lang w:val="en-GB"/>
        </w:rPr>
        <w:t xml:space="preserve">. The definition of default should be </w:t>
      </w:r>
      <w:r>
        <w:rPr>
          <w:rFonts w:ascii="Times New Roman" w:hAnsi="Times New Roman"/>
          <w:sz w:val="24"/>
          <w:szCs w:val="24"/>
          <w:lang w:val="en-GB"/>
        </w:rPr>
        <w:t xml:space="preserve">able to be adaptable so as to be </w:t>
      </w:r>
      <w:r w:rsidRPr="00AB5A2C">
        <w:rPr>
          <w:rFonts w:ascii="Times New Roman" w:hAnsi="Times New Roman"/>
          <w:sz w:val="24"/>
          <w:szCs w:val="24"/>
          <w:lang w:val="en-GB"/>
        </w:rPr>
        <w:t>consistent with market practices of the underlying asset in the given jurisdiction (e.g. trade receivable to government).</w:t>
      </w:r>
      <w:r w:rsidR="00081D02">
        <w:rPr>
          <w:rFonts w:ascii="Times New Roman" w:hAnsi="Times New Roman"/>
          <w:sz w:val="24"/>
          <w:szCs w:val="24"/>
          <w:lang w:val="en-GB"/>
        </w:rPr>
        <w:t xml:space="preserve"> </w:t>
      </w:r>
    </w:p>
    <w:p w14:paraId="523B20BC" w14:textId="5565C5D0" w:rsidR="00A748EF" w:rsidRDefault="00081D02" w:rsidP="0009302E">
      <w:pPr>
        <w:ind w:left="993"/>
        <w:jc w:val="both"/>
        <w:rPr>
          <w:rFonts w:ascii="Times New Roman" w:hAnsi="Times New Roman"/>
          <w:sz w:val="24"/>
          <w:szCs w:val="24"/>
          <w:lang w:val="en-GB"/>
        </w:rPr>
      </w:pPr>
      <w:r w:rsidRPr="00081D02">
        <w:rPr>
          <w:rFonts w:ascii="Times New Roman" w:hAnsi="Times New Roman"/>
          <w:sz w:val="24"/>
          <w:szCs w:val="24"/>
          <w:lang w:val="en-GB"/>
        </w:rPr>
        <w:t>It is unclear when a credit assessment by an ECAI or a credit scoring indicates a significant risk. Further, it is not clear what an “adverse history” really means and how long a credit history is deemed adverse or not adverse anymore after a company has recovered or a private person is able to pay after a phase of unemployment. The clarification of this point is important, because otherwise it will not be possible to select the right underlying assets at the time of the pool-cut that fulfil the non-impairment requirements.</w:t>
      </w:r>
      <w:r w:rsidR="00A748EF" w:rsidRPr="00AB5A2C">
        <w:rPr>
          <w:rFonts w:ascii="Times New Roman" w:hAnsi="Times New Roman"/>
          <w:sz w:val="24"/>
          <w:szCs w:val="24"/>
          <w:lang w:val="en-GB"/>
        </w:rPr>
        <w:t xml:space="preserve">  </w:t>
      </w:r>
    </w:p>
    <w:p w14:paraId="49A863BB" w14:textId="309A41E9" w:rsidR="00E64159" w:rsidRDefault="007D64F5" w:rsidP="0009302E">
      <w:pPr>
        <w:ind w:left="993"/>
        <w:jc w:val="both"/>
        <w:rPr>
          <w:rFonts w:ascii="Times New Roman" w:hAnsi="Times New Roman"/>
          <w:sz w:val="24"/>
          <w:szCs w:val="24"/>
          <w:lang w:val="en-GB"/>
        </w:rPr>
      </w:pPr>
      <w:r>
        <w:rPr>
          <w:rFonts w:ascii="Times New Roman" w:hAnsi="Times New Roman"/>
          <w:sz w:val="24"/>
          <w:szCs w:val="24"/>
          <w:lang w:val="en-GB"/>
        </w:rPr>
        <w:t xml:space="preserve">With respect to Criterion 5 iii) we believe that the definition of credit impaired borrower would need to be generally </w:t>
      </w:r>
      <w:r>
        <w:rPr>
          <w:rFonts w:ascii="Times New Roman" w:hAnsi="Times New Roman"/>
          <w:sz w:val="24"/>
          <w:szCs w:val="24"/>
          <w:lang w:val="en-US"/>
        </w:rPr>
        <w:t xml:space="preserve">reviewed as its current formulation would exclude all assets in jurisdictions where it is not possible to control potential default in the past 3 years using only public historical registers. Moreover, </w:t>
      </w:r>
      <w:r w:rsidR="00E64159" w:rsidRPr="00F25A76">
        <w:rPr>
          <w:rFonts w:ascii="Times New Roman" w:hAnsi="Times New Roman"/>
          <w:sz w:val="24"/>
          <w:szCs w:val="24"/>
          <w:lang w:val="en-GB"/>
        </w:rPr>
        <w:t>a creditor is deemed Credit impaired and transactions would be excluded if he has been the subject of insolvency or debt restructuring process in the past 3 years.</w:t>
      </w:r>
      <w:r w:rsidR="00E64159">
        <w:rPr>
          <w:rFonts w:ascii="Times New Roman" w:hAnsi="Times New Roman"/>
          <w:sz w:val="24"/>
          <w:szCs w:val="24"/>
          <w:lang w:val="en-GB"/>
        </w:rPr>
        <w:t xml:space="preserve"> </w:t>
      </w:r>
      <w:r w:rsidR="00E64159" w:rsidRPr="00F25A76">
        <w:rPr>
          <w:rFonts w:ascii="Times New Roman" w:hAnsi="Times New Roman"/>
          <w:sz w:val="24"/>
          <w:szCs w:val="24"/>
          <w:lang w:val="en-GB"/>
        </w:rPr>
        <w:t xml:space="preserve">We believe </w:t>
      </w:r>
      <w:r w:rsidR="00E64159">
        <w:rPr>
          <w:rFonts w:ascii="Times New Roman" w:hAnsi="Times New Roman"/>
          <w:sz w:val="24"/>
          <w:szCs w:val="24"/>
          <w:lang w:val="en-GB"/>
        </w:rPr>
        <w:t>d</w:t>
      </w:r>
      <w:r w:rsidR="00E64159" w:rsidRPr="00F25A76">
        <w:rPr>
          <w:rFonts w:ascii="Times New Roman" w:hAnsi="Times New Roman"/>
          <w:sz w:val="24"/>
          <w:szCs w:val="24"/>
          <w:lang w:val="en-GB"/>
        </w:rPr>
        <w:t>ebt restructuring process should not be an exclusion criterion for non-retail borrowers: If the delinquencies have been cured after debt restructuring, there is no reason to exclude the borrower. For example in the case of commercial real estate, the borrower may have injected equity. Therefore debt restructuring should be a criterion applied to retail consumers only.</w:t>
      </w:r>
      <w:r w:rsidR="00E64159">
        <w:rPr>
          <w:rFonts w:ascii="Times New Roman" w:hAnsi="Times New Roman"/>
          <w:sz w:val="24"/>
          <w:szCs w:val="24"/>
          <w:lang w:val="en-GB"/>
        </w:rPr>
        <w:t xml:space="preserve"> </w:t>
      </w:r>
    </w:p>
    <w:p w14:paraId="758DEA87" w14:textId="1BE82C84" w:rsidR="00E64159" w:rsidRDefault="007D64F5" w:rsidP="0009302E">
      <w:pPr>
        <w:ind w:left="993"/>
        <w:jc w:val="both"/>
        <w:rPr>
          <w:rFonts w:ascii="Times New Roman" w:hAnsi="Times New Roman"/>
          <w:sz w:val="24"/>
          <w:szCs w:val="24"/>
          <w:lang w:val="en-GB"/>
        </w:rPr>
      </w:pPr>
      <w:r>
        <w:rPr>
          <w:rFonts w:ascii="Times New Roman" w:hAnsi="Times New Roman"/>
          <w:sz w:val="24"/>
          <w:szCs w:val="24"/>
          <w:lang w:val="en-GB"/>
        </w:rPr>
        <w:t>Finally, we believe that o</w:t>
      </w:r>
      <w:r w:rsidR="00E64159" w:rsidRPr="00F25A76">
        <w:rPr>
          <w:rFonts w:ascii="Times New Roman" w:hAnsi="Times New Roman"/>
          <w:sz w:val="24"/>
          <w:szCs w:val="24"/>
          <w:lang w:val="en-GB"/>
        </w:rPr>
        <w:t xml:space="preserve">nly adverse credit history on loans should be considered. For example, a borrower is not paying telephone bills because of disputes would be registered as </w:t>
      </w:r>
      <w:r>
        <w:rPr>
          <w:rFonts w:ascii="Times New Roman" w:hAnsi="Times New Roman"/>
          <w:sz w:val="24"/>
          <w:szCs w:val="24"/>
          <w:lang w:val="en-GB"/>
        </w:rPr>
        <w:t xml:space="preserve">having an </w:t>
      </w:r>
      <w:r w:rsidR="00E64159" w:rsidRPr="00F25A76">
        <w:rPr>
          <w:rFonts w:ascii="Times New Roman" w:hAnsi="Times New Roman"/>
          <w:sz w:val="24"/>
          <w:szCs w:val="24"/>
          <w:lang w:val="en-GB"/>
        </w:rPr>
        <w:t xml:space="preserve">adverse credit history. However, this borrower should not necessarily be excluded from securitisation if </w:t>
      </w:r>
      <w:r>
        <w:rPr>
          <w:rFonts w:ascii="Times New Roman" w:hAnsi="Times New Roman"/>
          <w:sz w:val="24"/>
          <w:szCs w:val="24"/>
          <w:lang w:val="en-GB"/>
        </w:rPr>
        <w:t>all his</w:t>
      </w:r>
      <w:r w:rsidR="00E64159" w:rsidRPr="00F25A76">
        <w:rPr>
          <w:rFonts w:ascii="Times New Roman" w:hAnsi="Times New Roman"/>
          <w:sz w:val="24"/>
          <w:szCs w:val="24"/>
          <w:lang w:val="en-GB"/>
        </w:rPr>
        <w:t xml:space="preserve"> other loans are paid.</w:t>
      </w:r>
      <w:r w:rsidR="00374D5D">
        <w:rPr>
          <w:rFonts w:ascii="Times New Roman" w:hAnsi="Times New Roman"/>
          <w:sz w:val="24"/>
          <w:szCs w:val="24"/>
          <w:lang w:val="en-GB"/>
        </w:rPr>
        <w:t xml:space="preserve"> </w:t>
      </w:r>
    </w:p>
    <w:p w14:paraId="32F0B7D3" w14:textId="090BA7B9" w:rsidR="00374D5D" w:rsidRPr="0009302E" w:rsidRDefault="00374D5D" w:rsidP="0009302E">
      <w:pPr>
        <w:pStyle w:val="ListParagraph"/>
        <w:numPr>
          <w:ilvl w:val="0"/>
          <w:numId w:val="19"/>
        </w:numPr>
        <w:ind w:left="993" w:hanging="426"/>
        <w:jc w:val="both"/>
        <w:rPr>
          <w:rFonts w:ascii="Times New Roman" w:hAnsi="Times New Roman"/>
          <w:sz w:val="24"/>
          <w:szCs w:val="24"/>
          <w:lang w:val="en-GB"/>
        </w:rPr>
      </w:pPr>
      <w:r>
        <w:rPr>
          <w:rFonts w:ascii="Times New Roman" w:hAnsi="Times New Roman"/>
          <w:sz w:val="24"/>
          <w:szCs w:val="24"/>
          <w:lang w:val="en-GB"/>
        </w:rPr>
        <w:t xml:space="preserve">Criterion 6: </w:t>
      </w:r>
    </w:p>
    <w:p w14:paraId="642FA6B7" w14:textId="350082AB" w:rsidR="00374D5D" w:rsidRDefault="00374D5D" w:rsidP="0009302E">
      <w:pPr>
        <w:ind w:left="993"/>
        <w:jc w:val="both"/>
        <w:rPr>
          <w:rFonts w:ascii="Times New Roman" w:hAnsi="Times New Roman"/>
          <w:sz w:val="24"/>
          <w:szCs w:val="24"/>
          <w:lang w:val="en-GB"/>
        </w:rPr>
      </w:pPr>
      <w:r w:rsidRPr="00F25A76">
        <w:rPr>
          <w:rFonts w:ascii="Times New Roman" w:hAnsi="Times New Roman"/>
          <w:sz w:val="24"/>
          <w:szCs w:val="24"/>
          <w:lang w:val="en-GB"/>
        </w:rPr>
        <w:t xml:space="preserve">This criterion is useful for many types of loans. However it cannot work for short term assets such as trade receivables. It is the same situation as for credit cards </w:t>
      </w:r>
      <w:r w:rsidRPr="00F25A76">
        <w:rPr>
          <w:rFonts w:ascii="Times New Roman" w:hAnsi="Times New Roman"/>
          <w:sz w:val="24"/>
          <w:szCs w:val="24"/>
          <w:lang w:val="en-GB"/>
        </w:rPr>
        <w:lastRenderedPageBreak/>
        <w:t xml:space="preserve">receivables which are mentioned by the EBA and for which EBA recommends that they should not be excluded on this basis. Short term assets like trade receivables are likely not to have had any individual payment before they are securitised. </w:t>
      </w:r>
      <w:r w:rsidR="003138B8">
        <w:rPr>
          <w:rFonts w:ascii="Times New Roman" w:hAnsi="Times New Roman"/>
          <w:sz w:val="24"/>
          <w:szCs w:val="24"/>
          <w:lang w:val="en-GB"/>
        </w:rPr>
        <w:t>As a result, t</w:t>
      </w:r>
      <w:r w:rsidRPr="00F25A76">
        <w:rPr>
          <w:rFonts w:ascii="Times New Roman" w:hAnsi="Times New Roman"/>
          <w:sz w:val="24"/>
          <w:szCs w:val="24"/>
          <w:lang w:val="en-GB"/>
        </w:rPr>
        <w:t>rade receivables should not be excluded if there has not been a payment yet made by the borrower.</w:t>
      </w:r>
      <w:r>
        <w:rPr>
          <w:rFonts w:ascii="Times New Roman" w:hAnsi="Times New Roman"/>
          <w:sz w:val="24"/>
          <w:szCs w:val="24"/>
          <w:lang w:val="en-GB"/>
        </w:rPr>
        <w:t xml:space="preserve"> </w:t>
      </w:r>
    </w:p>
    <w:p w14:paraId="3543C14F" w14:textId="77777777" w:rsidR="00152440" w:rsidRDefault="00152440" w:rsidP="00152440">
      <w:pPr>
        <w:rPr>
          <w:rFonts w:ascii="Times New Roman" w:hAnsi="Times New Roman"/>
          <w:sz w:val="24"/>
          <w:szCs w:val="24"/>
          <w:lang w:val="en-US"/>
        </w:rPr>
      </w:pPr>
      <w:r>
        <w:rPr>
          <w:rFonts w:ascii="Times New Roman" w:hAnsi="Times New Roman"/>
          <w:sz w:val="24"/>
          <w:szCs w:val="24"/>
          <w:lang w:val="en-US"/>
        </w:rPr>
        <w:t>Pillar 2: Standard securitizations</w:t>
      </w:r>
    </w:p>
    <w:p w14:paraId="035BB9B0" w14:textId="6FA1B53B" w:rsidR="00152440" w:rsidRDefault="00152440" w:rsidP="00152440">
      <w:pPr>
        <w:numPr>
          <w:ilvl w:val="0"/>
          <w:numId w:val="11"/>
        </w:numPr>
        <w:jc w:val="both"/>
        <w:rPr>
          <w:rFonts w:ascii="Times New Roman" w:hAnsi="Times New Roman"/>
          <w:sz w:val="24"/>
          <w:szCs w:val="24"/>
          <w:lang w:val="en-US"/>
        </w:rPr>
      </w:pPr>
      <w:r w:rsidRPr="00C52367">
        <w:rPr>
          <w:rFonts w:ascii="Times New Roman" w:hAnsi="Times New Roman"/>
          <w:sz w:val="24"/>
          <w:szCs w:val="24"/>
          <w:lang w:val="en-US"/>
        </w:rPr>
        <w:t>Criterion 8: We agree that only derivatives used for genuine hedging purposes should be allowed in the securiti</w:t>
      </w:r>
      <w:r>
        <w:rPr>
          <w:rFonts w:ascii="Times New Roman" w:hAnsi="Times New Roman"/>
          <w:sz w:val="24"/>
          <w:szCs w:val="24"/>
          <w:lang w:val="en-US"/>
        </w:rPr>
        <w:t>s</w:t>
      </w:r>
      <w:r w:rsidRPr="00C52367">
        <w:rPr>
          <w:rFonts w:ascii="Times New Roman" w:hAnsi="Times New Roman"/>
          <w:sz w:val="24"/>
          <w:szCs w:val="24"/>
          <w:lang w:val="en-US"/>
        </w:rPr>
        <w:t xml:space="preserve">ation. </w:t>
      </w:r>
      <w:r w:rsidR="006D53C7">
        <w:rPr>
          <w:rFonts w:ascii="Times New Roman" w:hAnsi="Times New Roman"/>
          <w:sz w:val="24"/>
          <w:szCs w:val="24"/>
          <w:lang w:val="en-US"/>
        </w:rPr>
        <w:t xml:space="preserve">However, it should be allowed as well to hedge or mitigate the interest rate and/or currency risk through internal credit enhancement, as to avoid bringing in counterparty risk in the transaction. </w:t>
      </w:r>
      <w:r w:rsidRPr="00C52367">
        <w:rPr>
          <w:rFonts w:ascii="Times New Roman" w:hAnsi="Times New Roman"/>
          <w:sz w:val="24"/>
          <w:szCs w:val="24"/>
          <w:lang w:val="en-US"/>
        </w:rPr>
        <w:t>We think that besides genuine hedging derivatives also the issuance of floating rate securities with a cap should be admitted as a hedging tool (i.e. to hedge the fixed rate component of the pool). As far as the floating rate component of the pool is concerned we believe that in principle it should not be mandatory to have a hedging in place when</w:t>
      </w:r>
      <w:r>
        <w:rPr>
          <w:rFonts w:ascii="Times New Roman" w:hAnsi="Times New Roman"/>
          <w:sz w:val="24"/>
          <w:szCs w:val="24"/>
          <w:lang w:val="en-US"/>
        </w:rPr>
        <w:t>,</w:t>
      </w:r>
      <w:r w:rsidRPr="00C52367">
        <w:rPr>
          <w:rFonts w:ascii="Times New Roman" w:hAnsi="Times New Roman"/>
          <w:sz w:val="24"/>
          <w:szCs w:val="24"/>
          <w:lang w:val="en-US"/>
        </w:rPr>
        <w:t xml:space="preserve"> irrespective of the re</w:t>
      </w:r>
      <w:r>
        <w:rPr>
          <w:rFonts w:ascii="Times New Roman" w:hAnsi="Times New Roman"/>
          <w:sz w:val="24"/>
          <w:szCs w:val="24"/>
          <w:lang w:val="en-US"/>
        </w:rPr>
        <w:t>-</w:t>
      </w:r>
      <w:r w:rsidRPr="00C52367">
        <w:rPr>
          <w:rFonts w:ascii="Times New Roman" w:hAnsi="Times New Roman"/>
          <w:sz w:val="24"/>
          <w:szCs w:val="24"/>
          <w:lang w:val="en-US"/>
        </w:rPr>
        <w:t>pricing dates</w:t>
      </w:r>
      <w:r>
        <w:rPr>
          <w:rFonts w:ascii="Times New Roman" w:hAnsi="Times New Roman"/>
          <w:sz w:val="24"/>
          <w:szCs w:val="24"/>
          <w:lang w:val="en-US"/>
        </w:rPr>
        <w:t>,</w:t>
      </w:r>
      <w:r w:rsidRPr="00C52367">
        <w:rPr>
          <w:rFonts w:ascii="Times New Roman" w:hAnsi="Times New Roman"/>
          <w:sz w:val="24"/>
          <w:szCs w:val="24"/>
          <w:lang w:val="en-US"/>
        </w:rPr>
        <w:t xml:space="preserve"> the kind of index is the same for both the assets and the notes (e.g. 1-3-6</w:t>
      </w:r>
      <w:r>
        <w:rPr>
          <w:rFonts w:ascii="Times New Roman" w:hAnsi="Times New Roman"/>
          <w:sz w:val="24"/>
          <w:szCs w:val="24"/>
          <w:lang w:val="en-US"/>
        </w:rPr>
        <w:t>-</w:t>
      </w:r>
      <w:r w:rsidRPr="00C52367">
        <w:rPr>
          <w:rFonts w:ascii="Times New Roman" w:hAnsi="Times New Roman"/>
          <w:sz w:val="24"/>
          <w:szCs w:val="24"/>
          <w:lang w:val="en-US"/>
        </w:rPr>
        <w:t>month Euribor for the pool and 3</w:t>
      </w:r>
      <w:r>
        <w:rPr>
          <w:rFonts w:ascii="Times New Roman" w:hAnsi="Times New Roman"/>
          <w:sz w:val="24"/>
          <w:szCs w:val="24"/>
          <w:lang w:val="en-US"/>
        </w:rPr>
        <w:t>-</w:t>
      </w:r>
      <w:r w:rsidRPr="00C52367">
        <w:rPr>
          <w:rFonts w:ascii="Times New Roman" w:hAnsi="Times New Roman"/>
          <w:sz w:val="24"/>
          <w:szCs w:val="24"/>
          <w:lang w:val="en-US"/>
        </w:rPr>
        <w:t>month Euribor for the issued notes). As far as the fixed rate component of the pool is concerned we believe that in principle it should not be mandatory to have a hedging in place in the event such component is below a given materiality threshold (e.g. 20% of the whole asset pool)</w:t>
      </w:r>
      <w:r w:rsidR="003138B8">
        <w:rPr>
          <w:rFonts w:ascii="Times New Roman" w:hAnsi="Times New Roman"/>
          <w:sz w:val="24"/>
          <w:szCs w:val="24"/>
          <w:lang w:val="en-US"/>
        </w:rPr>
        <w:t xml:space="preserve">. </w:t>
      </w:r>
      <w:r>
        <w:rPr>
          <w:rFonts w:ascii="Times New Roman" w:hAnsi="Times New Roman"/>
          <w:sz w:val="24"/>
          <w:szCs w:val="24"/>
          <w:lang w:val="en-US"/>
        </w:rPr>
        <w:t xml:space="preserve"> </w:t>
      </w:r>
    </w:p>
    <w:p w14:paraId="04EFB6DC" w14:textId="6CC422B8" w:rsidR="003138B8" w:rsidRPr="00AB5A2C" w:rsidRDefault="006D53C7" w:rsidP="00A748EF">
      <w:pPr>
        <w:spacing w:after="0" w:line="240" w:lineRule="auto"/>
        <w:ind w:left="1068"/>
        <w:jc w:val="both"/>
        <w:rPr>
          <w:rFonts w:ascii="Times New Roman" w:hAnsi="Times New Roman"/>
          <w:sz w:val="24"/>
          <w:szCs w:val="24"/>
          <w:lang w:val="en-US"/>
        </w:rPr>
      </w:pPr>
      <w:r>
        <w:rPr>
          <w:rFonts w:ascii="Times New Roman" w:hAnsi="Times New Roman"/>
          <w:sz w:val="24"/>
          <w:szCs w:val="24"/>
          <w:lang w:val="en-US"/>
        </w:rPr>
        <w:t xml:space="preserve">Criterion 9: is not totally clear. Therefore we propose to add after “commonly encountered market interest rates” “or legally required interest rates”. </w:t>
      </w:r>
      <w:r w:rsidR="00A748EF">
        <w:rPr>
          <w:rFonts w:ascii="Times New Roman" w:hAnsi="Times New Roman"/>
          <w:sz w:val="24"/>
          <w:szCs w:val="24"/>
          <w:lang w:val="en-US"/>
        </w:rPr>
        <w:t>In addition, s</w:t>
      </w:r>
      <w:r w:rsidR="00A748EF" w:rsidRPr="00AB5A2C">
        <w:rPr>
          <w:rFonts w:ascii="Times New Roman" w:hAnsi="Times New Roman"/>
          <w:sz w:val="24"/>
          <w:szCs w:val="24"/>
          <w:lang w:val="en-US"/>
        </w:rPr>
        <w:t>ome assets interest reference such as prime UK mortgages are based on cost of fund. This is similar for ABCP conduits which often reference funding cost of conduits. Interest rates based on cost of fund should be eligible to SST.</w:t>
      </w:r>
    </w:p>
    <w:p w14:paraId="5EF9A5B3" w14:textId="78DE8787" w:rsidR="006D53C7" w:rsidRDefault="006D53C7" w:rsidP="00860D63">
      <w:pPr>
        <w:spacing w:after="0" w:line="240" w:lineRule="auto"/>
        <w:ind w:left="1068"/>
        <w:jc w:val="both"/>
        <w:rPr>
          <w:rFonts w:ascii="Times New Roman" w:hAnsi="Times New Roman"/>
          <w:sz w:val="24"/>
          <w:szCs w:val="24"/>
          <w:lang w:val="en-US"/>
        </w:rPr>
      </w:pPr>
    </w:p>
    <w:p w14:paraId="6949682F" w14:textId="407F90B0" w:rsidR="006D53C7" w:rsidRDefault="006D53C7" w:rsidP="006D53C7">
      <w:pPr>
        <w:numPr>
          <w:ilvl w:val="0"/>
          <w:numId w:val="11"/>
        </w:numPr>
        <w:jc w:val="both"/>
        <w:rPr>
          <w:rFonts w:ascii="Times New Roman" w:hAnsi="Times New Roman"/>
          <w:sz w:val="24"/>
          <w:szCs w:val="24"/>
          <w:lang w:val="en-US"/>
        </w:rPr>
      </w:pPr>
      <w:r>
        <w:rPr>
          <w:rFonts w:ascii="Times New Roman" w:hAnsi="Times New Roman"/>
          <w:sz w:val="24"/>
          <w:szCs w:val="24"/>
          <w:lang w:val="en-US"/>
        </w:rPr>
        <w:t xml:space="preserve">Criterion 10: is too far going (see comments relating to criterion 4). </w:t>
      </w:r>
    </w:p>
    <w:p w14:paraId="59F1ECAC" w14:textId="7C745F43" w:rsidR="00A748EF" w:rsidRDefault="00A748EF" w:rsidP="008474EF">
      <w:pPr>
        <w:ind w:left="1068"/>
        <w:jc w:val="both"/>
        <w:rPr>
          <w:rFonts w:ascii="Times New Roman" w:hAnsi="Times New Roman"/>
          <w:sz w:val="24"/>
          <w:szCs w:val="24"/>
          <w:lang w:val="en-US"/>
        </w:rPr>
      </w:pPr>
      <w:r w:rsidRPr="008474EF">
        <w:rPr>
          <w:rFonts w:ascii="Times New Roman" w:hAnsi="Times New Roman"/>
          <w:sz w:val="24"/>
          <w:szCs w:val="24"/>
          <w:lang w:val="en-US"/>
        </w:rPr>
        <w:t xml:space="preserve">“Failure to generate sufficient new underlying exposures of at least similar credit quality” (Criterion 10 (ii)):  Credit Cards, Trade Receivables and short term assets (seasonality adjustments) and securitization with an automatic adjustment of the liability size should be removed from criterion 10 (ii). </w:t>
      </w:r>
    </w:p>
    <w:p w14:paraId="23DD50E0" w14:textId="3C62B2FC" w:rsidR="00A109C9" w:rsidRPr="00860D63" w:rsidRDefault="00A109C9" w:rsidP="00860D63">
      <w:pPr>
        <w:pStyle w:val="ListParagraph"/>
        <w:numPr>
          <w:ilvl w:val="0"/>
          <w:numId w:val="11"/>
        </w:numPr>
        <w:jc w:val="both"/>
        <w:rPr>
          <w:rFonts w:ascii="Times New Roman" w:hAnsi="Times New Roman"/>
          <w:sz w:val="24"/>
          <w:szCs w:val="24"/>
          <w:lang w:val="en-US"/>
        </w:rPr>
      </w:pPr>
      <w:r w:rsidRPr="00860D63">
        <w:rPr>
          <w:rFonts w:ascii="Times New Roman" w:hAnsi="Times New Roman"/>
          <w:sz w:val="24"/>
          <w:szCs w:val="24"/>
          <w:lang w:val="en-US"/>
        </w:rPr>
        <w:t>Criterion 12(i): It should be clarified, that it is to ensure that the default or insolvency of the current servicer does not automatically lead to a termination of the servicing of the underlying assets without the replacement of the current servicer by a new servicer.</w:t>
      </w:r>
      <w:r w:rsidR="00081D02" w:rsidRPr="00860D63">
        <w:rPr>
          <w:rFonts w:ascii="Times New Roman" w:hAnsi="Times New Roman"/>
          <w:sz w:val="24"/>
          <w:szCs w:val="24"/>
          <w:lang w:val="en-US"/>
        </w:rPr>
        <w:t xml:space="preserve"> </w:t>
      </w:r>
    </w:p>
    <w:p w14:paraId="70EF3B13" w14:textId="3B74EBB3" w:rsidR="00152440" w:rsidRDefault="00152440" w:rsidP="00152440">
      <w:pPr>
        <w:numPr>
          <w:ilvl w:val="0"/>
          <w:numId w:val="11"/>
        </w:numPr>
        <w:jc w:val="both"/>
        <w:rPr>
          <w:rFonts w:ascii="Times New Roman" w:hAnsi="Times New Roman"/>
          <w:sz w:val="24"/>
          <w:szCs w:val="24"/>
          <w:lang w:val="en-US"/>
        </w:rPr>
      </w:pPr>
      <w:r w:rsidRPr="00C52367">
        <w:rPr>
          <w:rFonts w:ascii="Times New Roman" w:hAnsi="Times New Roman"/>
          <w:sz w:val="24"/>
          <w:szCs w:val="24"/>
          <w:lang w:val="en-US"/>
        </w:rPr>
        <w:t xml:space="preserve">Criterion 14: </w:t>
      </w:r>
      <w:r w:rsidR="00BD7E75" w:rsidRPr="00F25A76">
        <w:rPr>
          <w:rFonts w:ascii="Times New Roman" w:hAnsi="Times New Roman"/>
          <w:sz w:val="24"/>
          <w:szCs w:val="24"/>
          <w:lang w:val="en-GB"/>
        </w:rPr>
        <w:t xml:space="preserve">We understand the principle of having a robust servicer. However, there are practical issues in assessing the servicer’s ability. </w:t>
      </w:r>
      <w:r w:rsidR="002A46C5">
        <w:rPr>
          <w:rFonts w:ascii="Times New Roman" w:hAnsi="Times New Roman"/>
          <w:sz w:val="24"/>
          <w:szCs w:val="24"/>
          <w:lang w:val="en-GB"/>
        </w:rPr>
        <w:t>For example, it may prove extremely difficult to demonstrate expertise in servicing</w:t>
      </w:r>
      <w:r w:rsidR="002A46C5" w:rsidRPr="00F25A76" w:rsidDel="002A46C5">
        <w:rPr>
          <w:rFonts w:ascii="Times New Roman" w:hAnsi="Times New Roman"/>
          <w:sz w:val="24"/>
          <w:szCs w:val="24"/>
          <w:lang w:val="en-GB"/>
        </w:rPr>
        <w:t xml:space="preserve"> </w:t>
      </w:r>
      <w:r w:rsidR="00BD7E75" w:rsidRPr="00F25A76">
        <w:rPr>
          <w:rFonts w:ascii="Times New Roman" w:hAnsi="Times New Roman"/>
          <w:sz w:val="24"/>
          <w:szCs w:val="24"/>
          <w:lang w:val="en-GB"/>
        </w:rPr>
        <w:t>trade receivables where the servicer is a corporate.</w:t>
      </w:r>
      <w:r w:rsidR="00BD7E75">
        <w:rPr>
          <w:rFonts w:ascii="Times New Roman" w:hAnsi="Times New Roman"/>
          <w:sz w:val="24"/>
          <w:szCs w:val="24"/>
          <w:lang w:val="en-GB"/>
        </w:rPr>
        <w:t xml:space="preserve"> </w:t>
      </w:r>
      <w:r>
        <w:rPr>
          <w:rFonts w:ascii="Times New Roman" w:hAnsi="Times New Roman"/>
          <w:sz w:val="24"/>
          <w:szCs w:val="24"/>
          <w:lang w:val="en-US"/>
        </w:rPr>
        <w:t>O</w:t>
      </w:r>
      <w:r w:rsidRPr="00C52367">
        <w:rPr>
          <w:rFonts w:ascii="Times New Roman" w:hAnsi="Times New Roman"/>
          <w:sz w:val="24"/>
          <w:szCs w:val="24"/>
          <w:lang w:val="en-US"/>
        </w:rPr>
        <w:t>n one hand we think that it would be difficult to identify the criteria to be used to demonstrate that expertise</w:t>
      </w:r>
      <w:r>
        <w:rPr>
          <w:rFonts w:ascii="Times New Roman" w:hAnsi="Times New Roman"/>
          <w:sz w:val="24"/>
          <w:szCs w:val="24"/>
          <w:lang w:val="en-US"/>
        </w:rPr>
        <w:t>;</w:t>
      </w:r>
      <w:r w:rsidRPr="00C52367">
        <w:rPr>
          <w:rFonts w:ascii="Times New Roman" w:hAnsi="Times New Roman"/>
          <w:sz w:val="24"/>
          <w:szCs w:val="24"/>
          <w:lang w:val="en-US"/>
        </w:rPr>
        <w:t xml:space="preserve"> on the other hand we agree that it is necessary to provide as much transparency as possible also on this point (e.g. through a memorandum detailing policies, procedures and risk management controls, including IT and reporting capabilities).</w:t>
      </w:r>
      <w:r>
        <w:rPr>
          <w:rFonts w:ascii="Times New Roman" w:hAnsi="Times New Roman"/>
          <w:sz w:val="24"/>
          <w:szCs w:val="24"/>
          <w:lang w:val="en-US"/>
        </w:rPr>
        <w:t xml:space="preserve"> </w:t>
      </w:r>
    </w:p>
    <w:p w14:paraId="24BA3334" w14:textId="77777777" w:rsidR="00152440" w:rsidRDefault="00152440" w:rsidP="00152440">
      <w:pPr>
        <w:jc w:val="both"/>
        <w:rPr>
          <w:rFonts w:ascii="Times New Roman" w:hAnsi="Times New Roman"/>
          <w:sz w:val="24"/>
          <w:szCs w:val="24"/>
          <w:lang w:val="en-US"/>
        </w:rPr>
      </w:pPr>
      <w:r>
        <w:rPr>
          <w:rFonts w:ascii="Times New Roman" w:hAnsi="Times New Roman"/>
          <w:sz w:val="24"/>
          <w:szCs w:val="24"/>
          <w:lang w:val="en-US"/>
        </w:rPr>
        <w:lastRenderedPageBreak/>
        <w:t>Pillar III: Transparent securitisations</w:t>
      </w:r>
    </w:p>
    <w:p w14:paraId="6D2251EE" w14:textId="64D896D6" w:rsidR="00A748EF" w:rsidRDefault="00A748EF" w:rsidP="00A748EF">
      <w:pPr>
        <w:numPr>
          <w:ilvl w:val="0"/>
          <w:numId w:val="12"/>
        </w:numPr>
        <w:jc w:val="both"/>
        <w:rPr>
          <w:rFonts w:ascii="Times New Roman" w:hAnsi="Times New Roman"/>
          <w:sz w:val="24"/>
          <w:szCs w:val="24"/>
          <w:lang w:val="en-US"/>
        </w:rPr>
      </w:pPr>
      <w:r w:rsidRPr="00C52367">
        <w:rPr>
          <w:rFonts w:ascii="Times New Roman" w:hAnsi="Times New Roman"/>
          <w:sz w:val="24"/>
          <w:szCs w:val="24"/>
          <w:lang w:val="en-US"/>
        </w:rPr>
        <w:t>Criterion 1</w:t>
      </w:r>
      <w:r>
        <w:rPr>
          <w:rFonts w:ascii="Times New Roman" w:hAnsi="Times New Roman"/>
          <w:sz w:val="24"/>
          <w:szCs w:val="24"/>
          <w:lang w:val="en-US"/>
        </w:rPr>
        <w:t>5</w:t>
      </w:r>
      <w:r w:rsidRPr="00C52367">
        <w:rPr>
          <w:rFonts w:ascii="Times New Roman" w:hAnsi="Times New Roman"/>
          <w:sz w:val="24"/>
          <w:szCs w:val="24"/>
          <w:lang w:val="en-US"/>
        </w:rPr>
        <w:t>:</w:t>
      </w:r>
      <w:r>
        <w:rPr>
          <w:rFonts w:ascii="Times New Roman" w:hAnsi="Times New Roman"/>
          <w:sz w:val="24"/>
          <w:szCs w:val="24"/>
          <w:lang w:val="en-US"/>
        </w:rPr>
        <w:t xml:space="preserve"> ABCP should be excluded from this criterion, as they are not subject to the prospectus directive. Same comment for private transactions.</w:t>
      </w:r>
    </w:p>
    <w:p w14:paraId="61DB0E68" w14:textId="77777777" w:rsidR="00A109C9" w:rsidRDefault="00A748EF" w:rsidP="00A748EF">
      <w:pPr>
        <w:numPr>
          <w:ilvl w:val="0"/>
          <w:numId w:val="12"/>
        </w:numPr>
        <w:jc w:val="both"/>
        <w:rPr>
          <w:rFonts w:ascii="Times New Roman" w:hAnsi="Times New Roman"/>
          <w:sz w:val="24"/>
          <w:szCs w:val="24"/>
          <w:lang w:val="en-US"/>
        </w:rPr>
      </w:pPr>
      <w:r w:rsidRPr="001528B3">
        <w:rPr>
          <w:rFonts w:ascii="Times New Roman" w:hAnsi="Times New Roman"/>
          <w:sz w:val="24"/>
          <w:szCs w:val="24"/>
          <w:lang w:val="en-US"/>
        </w:rPr>
        <w:t xml:space="preserve">Criterion 17: </w:t>
      </w:r>
      <w:r w:rsidR="00A109C9" w:rsidRPr="00FA1A0D">
        <w:rPr>
          <w:rFonts w:ascii="Times New Roman" w:hAnsi="Times New Roman"/>
          <w:sz w:val="24"/>
          <w:szCs w:val="24"/>
          <w:lang w:val="en-US"/>
        </w:rPr>
        <w:t>“Access to all underlying transaction documents”</w:t>
      </w:r>
      <w:r w:rsidR="00A109C9" w:rsidRPr="00733296">
        <w:rPr>
          <w:rFonts w:ascii="Times New Roman" w:hAnsi="Times New Roman"/>
          <w:sz w:val="24"/>
          <w:szCs w:val="24"/>
          <w:lang w:val="en-US"/>
        </w:rPr>
        <w:t xml:space="preserve"> </w:t>
      </w:r>
      <w:r w:rsidR="00A109C9" w:rsidRPr="00FA1A0D">
        <w:rPr>
          <w:rFonts w:ascii="Times New Roman" w:hAnsi="Times New Roman"/>
          <w:sz w:val="24"/>
          <w:szCs w:val="24"/>
          <w:lang w:val="en-US"/>
        </w:rPr>
        <w:t>should be limited to “ all material and reasonable” underlying transaction documents</w:t>
      </w:r>
      <w:r w:rsidR="00A109C9">
        <w:rPr>
          <w:rFonts w:ascii="Times New Roman" w:hAnsi="Times New Roman"/>
          <w:sz w:val="24"/>
          <w:szCs w:val="24"/>
          <w:lang w:val="en-US"/>
        </w:rPr>
        <w:t>.</w:t>
      </w:r>
      <w:r w:rsidR="00A109C9" w:rsidRPr="00443F41">
        <w:rPr>
          <w:rFonts w:ascii="Times New Roman" w:hAnsi="Times New Roman"/>
          <w:sz w:val="24"/>
          <w:szCs w:val="24"/>
          <w:lang w:val="en-US"/>
        </w:rPr>
        <w:t xml:space="preserve"> </w:t>
      </w:r>
    </w:p>
    <w:p w14:paraId="58AE0F1F" w14:textId="2BC488FE" w:rsidR="00A748EF" w:rsidRPr="00AB5A2C" w:rsidRDefault="00A748EF" w:rsidP="008474EF">
      <w:pPr>
        <w:ind w:left="1068"/>
        <w:jc w:val="both"/>
        <w:rPr>
          <w:rFonts w:ascii="Times New Roman" w:hAnsi="Times New Roman"/>
          <w:sz w:val="24"/>
          <w:szCs w:val="24"/>
          <w:lang w:val="en-US"/>
        </w:rPr>
      </w:pPr>
      <w:r w:rsidRPr="00443F41">
        <w:rPr>
          <w:rFonts w:ascii="Times New Roman" w:hAnsi="Times New Roman"/>
          <w:sz w:val="24"/>
          <w:szCs w:val="24"/>
          <w:lang w:val="en-US"/>
        </w:rPr>
        <w:t xml:space="preserve">For ABCP, </w:t>
      </w:r>
      <w:r w:rsidRPr="00AB5A2C">
        <w:rPr>
          <w:rFonts w:ascii="Times New Roman" w:hAnsi="Times New Roman"/>
          <w:sz w:val="24"/>
          <w:szCs w:val="24"/>
          <w:lang w:val="en-US"/>
        </w:rPr>
        <w:t>this criterion should be limited to the ABCP conduit documentation, and not to the documentation of the underlying transactions</w:t>
      </w:r>
      <w:r>
        <w:rPr>
          <w:rFonts w:ascii="Times New Roman" w:hAnsi="Times New Roman"/>
          <w:sz w:val="24"/>
          <w:szCs w:val="24"/>
          <w:lang w:val="en-US"/>
        </w:rPr>
        <w:t xml:space="preserve">. </w:t>
      </w:r>
    </w:p>
    <w:p w14:paraId="164B0991" w14:textId="361A9665" w:rsidR="00152440" w:rsidRDefault="00152440" w:rsidP="00152440">
      <w:pPr>
        <w:numPr>
          <w:ilvl w:val="0"/>
          <w:numId w:val="12"/>
        </w:numPr>
        <w:jc w:val="both"/>
        <w:rPr>
          <w:rFonts w:ascii="Times New Roman" w:hAnsi="Times New Roman"/>
          <w:sz w:val="24"/>
          <w:szCs w:val="24"/>
          <w:lang w:val="en-US"/>
        </w:rPr>
      </w:pPr>
      <w:r w:rsidRPr="00C52367">
        <w:rPr>
          <w:rFonts w:ascii="Times New Roman" w:hAnsi="Times New Roman"/>
          <w:sz w:val="24"/>
          <w:szCs w:val="24"/>
          <w:lang w:val="en-US"/>
        </w:rPr>
        <w:t xml:space="preserve">Criterion 18: </w:t>
      </w:r>
      <w:r w:rsidR="006D53C7">
        <w:rPr>
          <w:rFonts w:ascii="Times New Roman" w:hAnsi="Times New Roman"/>
          <w:sz w:val="24"/>
          <w:szCs w:val="24"/>
          <w:lang w:val="en-US"/>
        </w:rPr>
        <w:t xml:space="preserve">As it is impossible to provide for transparency purposes in the transaction documentation “definitions, remedies and actions relating to delinquency and default of underlying debtors, debt restructuring, debt forgiveness, forbearance, payment holidays and other asset performance” and since this issue is already dealt with in criterion 14, we propose to delete the first sentence of criterion 18. </w:t>
      </w:r>
      <w:r w:rsidRPr="00C52367">
        <w:rPr>
          <w:rFonts w:ascii="Times New Roman" w:hAnsi="Times New Roman"/>
          <w:sz w:val="24"/>
          <w:szCs w:val="24"/>
          <w:lang w:val="en-US"/>
        </w:rPr>
        <w:t xml:space="preserve">In our opinion cash flow models should </w:t>
      </w:r>
      <w:r w:rsidR="006D53C7">
        <w:rPr>
          <w:rFonts w:ascii="Times New Roman" w:hAnsi="Times New Roman"/>
          <w:sz w:val="24"/>
          <w:szCs w:val="24"/>
          <w:lang w:val="en-US"/>
        </w:rPr>
        <w:t xml:space="preserve">also </w:t>
      </w:r>
      <w:r w:rsidRPr="00C52367">
        <w:rPr>
          <w:rFonts w:ascii="Times New Roman" w:hAnsi="Times New Roman"/>
          <w:sz w:val="24"/>
          <w:szCs w:val="24"/>
          <w:lang w:val="en-US"/>
        </w:rPr>
        <w:t xml:space="preserve">not be made available to investors. This </w:t>
      </w:r>
      <w:r>
        <w:rPr>
          <w:rFonts w:ascii="Times New Roman" w:hAnsi="Times New Roman"/>
          <w:sz w:val="24"/>
          <w:szCs w:val="24"/>
          <w:lang w:val="en-US"/>
        </w:rPr>
        <w:t>c</w:t>
      </w:r>
      <w:r w:rsidRPr="00C52367">
        <w:rPr>
          <w:rFonts w:ascii="Times New Roman" w:hAnsi="Times New Roman"/>
          <w:sz w:val="24"/>
          <w:szCs w:val="24"/>
          <w:lang w:val="en-US"/>
        </w:rPr>
        <w:t xml:space="preserve">ould </w:t>
      </w:r>
      <w:r>
        <w:rPr>
          <w:rFonts w:ascii="Times New Roman" w:hAnsi="Times New Roman"/>
          <w:sz w:val="24"/>
          <w:szCs w:val="24"/>
          <w:lang w:val="en-US"/>
        </w:rPr>
        <w:t xml:space="preserve">lead investors to rely </w:t>
      </w:r>
      <w:r w:rsidRPr="00C52367">
        <w:rPr>
          <w:rFonts w:ascii="Times New Roman" w:hAnsi="Times New Roman"/>
          <w:sz w:val="24"/>
          <w:szCs w:val="24"/>
          <w:lang w:val="en-US"/>
        </w:rPr>
        <w:t xml:space="preserve">on analysis made by third parties. The availability should rather refer to the inputs (regarding the underlying portfolio and the structure) necessary to the investors for building and running their own models. In this respect, we are of the opinion that the LLD </w:t>
      </w:r>
      <w:r>
        <w:rPr>
          <w:rFonts w:ascii="Times New Roman" w:hAnsi="Times New Roman"/>
          <w:sz w:val="24"/>
          <w:szCs w:val="24"/>
          <w:lang w:val="en-US"/>
        </w:rPr>
        <w:t>i</w:t>
      </w:r>
      <w:r w:rsidRPr="00C52367">
        <w:rPr>
          <w:rFonts w:ascii="Times New Roman" w:hAnsi="Times New Roman"/>
          <w:sz w:val="24"/>
          <w:szCs w:val="24"/>
          <w:lang w:val="en-US"/>
        </w:rPr>
        <w:t>nitiative is already providing all the necessary elements to perform cash flow analysis of securiti</w:t>
      </w:r>
      <w:r>
        <w:rPr>
          <w:rFonts w:ascii="Times New Roman" w:hAnsi="Times New Roman"/>
          <w:sz w:val="24"/>
          <w:szCs w:val="24"/>
          <w:lang w:val="en-US"/>
        </w:rPr>
        <w:t>s</w:t>
      </w:r>
      <w:r w:rsidRPr="00C52367">
        <w:rPr>
          <w:rFonts w:ascii="Times New Roman" w:hAnsi="Times New Roman"/>
          <w:sz w:val="24"/>
          <w:szCs w:val="24"/>
          <w:lang w:val="en-US"/>
        </w:rPr>
        <w:t xml:space="preserve">ed assets. </w:t>
      </w:r>
    </w:p>
    <w:p w14:paraId="5B069EB3" w14:textId="6FFC8017" w:rsidR="00A748EF" w:rsidRDefault="00A748EF" w:rsidP="008474EF">
      <w:pPr>
        <w:ind w:left="1068"/>
        <w:jc w:val="both"/>
        <w:rPr>
          <w:rFonts w:ascii="Times New Roman" w:hAnsi="Times New Roman"/>
          <w:sz w:val="24"/>
          <w:szCs w:val="24"/>
          <w:lang w:val="en-US"/>
        </w:rPr>
      </w:pPr>
      <w:r w:rsidRPr="00AB5A2C">
        <w:rPr>
          <w:rFonts w:ascii="Times New Roman" w:hAnsi="Times New Roman"/>
          <w:sz w:val="24"/>
          <w:szCs w:val="24"/>
          <w:lang w:val="en-US"/>
        </w:rPr>
        <w:t>For ABCP, no Cash Flow model should be required, as timely payments are si</w:t>
      </w:r>
      <w:r>
        <w:rPr>
          <w:rFonts w:ascii="Times New Roman" w:hAnsi="Times New Roman"/>
          <w:sz w:val="24"/>
          <w:szCs w:val="24"/>
          <w:lang w:val="en-US"/>
        </w:rPr>
        <w:t>m</w:t>
      </w:r>
      <w:r w:rsidRPr="00AB5A2C">
        <w:rPr>
          <w:rFonts w:ascii="Times New Roman" w:hAnsi="Times New Roman"/>
          <w:sz w:val="24"/>
          <w:szCs w:val="24"/>
          <w:lang w:val="en-US"/>
        </w:rPr>
        <w:t>ply assured by the liquidity line.</w:t>
      </w:r>
    </w:p>
    <w:p w14:paraId="59CF68C2" w14:textId="13BB1868" w:rsidR="00BD7E75" w:rsidRPr="00860D63" w:rsidRDefault="00BD7E75" w:rsidP="0009302E">
      <w:pPr>
        <w:pStyle w:val="ListParagraph"/>
        <w:numPr>
          <w:ilvl w:val="0"/>
          <w:numId w:val="12"/>
        </w:numPr>
        <w:jc w:val="both"/>
        <w:rPr>
          <w:rFonts w:ascii="Times New Roman" w:hAnsi="Times New Roman"/>
          <w:sz w:val="24"/>
          <w:szCs w:val="24"/>
          <w:lang w:val="en-US"/>
        </w:rPr>
      </w:pPr>
      <w:r w:rsidRPr="0009302E">
        <w:rPr>
          <w:rFonts w:ascii="Times New Roman" w:hAnsi="Times New Roman"/>
          <w:sz w:val="24"/>
          <w:szCs w:val="24"/>
          <w:lang w:val="en-US"/>
        </w:rPr>
        <w:t xml:space="preserve">Criterion 19: </w:t>
      </w:r>
      <w:r w:rsidRPr="0009302E">
        <w:rPr>
          <w:rFonts w:ascii="Times New Roman" w:hAnsi="Times New Roman"/>
          <w:sz w:val="24"/>
          <w:szCs w:val="24"/>
          <w:lang w:val="en-GB"/>
        </w:rPr>
        <w:t>On current securitisation transactions, an audit is often performed, but it is not always the case.  For example for non-granular pools, or for CLOs where assets are acquired on the secondary market and for pools which need to ramp up, audits are not necessary. The trustee should ensure that the assets are in compliance with the eligibility criteria.</w:t>
      </w:r>
      <w:r w:rsidRPr="00BD7E75">
        <w:rPr>
          <w:rFonts w:ascii="Times New Roman" w:hAnsi="Times New Roman"/>
          <w:sz w:val="24"/>
          <w:szCs w:val="24"/>
          <w:lang w:val="en-GB"/>
        </w:rPr>
        <w:t xml:space="preserve"> The audit on the underlying asset can be done prior to issuance, not at issuance</w:t>
      </w:r>
      <w:r w:rsidR="00081D02">
        <w:rPr>
          <w:rFonts w:ascii="Times New Roman" w:hAnsi="Times New Roman"/>
          <w:sz w:val="24"/>
          <w:szCs w:val="24"/>
          <w:lang w:val="en-GB"/>
        </w:rPr>
        <w:t xml:space="preserve">. </w:t>
      </w:r>
    </w:p>
    <w:p w14:paraId="415C79D8" w14:textId="559A7D50" w:rsidR="00081D02" w:rsidRPr="00860D63" w:rsidRDefault="00081D02" w:rsidP="00860D63">
      <w:pPr>
        <w:ind w:left="1068"/>
        <w:jc w:val="both"/>
        <w:rPr>
          <w:rFonts w:ascii="Times New Roman" w:hAnsi="Times New Roman"/>
          <w:sz w:val="24"/>
          <w:szCs w:val="24"/>
          <w:lang w:val="en-US"/>
        </w:rPr>
      </w:pPr>
      <w:r w:rsidRPr="00860D63">
        <w:rPr>
          <w:rFonts w:ascii="Times New Roman" w:hAnsi="Times New Roman"/>
          <w:sz w:val="24"/>
          <w:szCs w:val="24"/>
          <w:lang w:val="en-US"/>
        </w:rPr>
        <w:t>Criterion 19 requires that underlying assets should be subject to external verification. The predefined confidence level of at least 95% is not completely clear from our perspective. Does this mean that 95% of all the underlying loans need to be verified by an external party? In particular for short-term receivables (e.g. 3 months) such check is not appropriate against the background of the fast turnover of the receivables. This holds in particular true, since on site audits of the seller are conducted by involved parties regularly (e.g. liquidity facility providers in ABCP programs) and external confirmations (e.g. by audit firms) are obtained.</w:t>
      </w:r>
    </w:p>
    <w:p w14:paraId="57BAB194" w14:textId="09A6D50F" w:rsidR="00152440" w:rsidRDefault="00152440" w:rsidP="00152440">
      <w:pPr>
        <w:numPr>
          <w:ilvl w:val="0"/>
          <w:numId w:val="12"/>
        </w:numPr>
        <w:jc w:val="both"/>
        <w:rPr>
          <w:rFonts w:ascii="Times New Roman" w:hAnsi="Times New Roman"/>
          <w:sz w:val="24"/>
          <w:szCs w:val="24"/>
          <w:lang w:val="en-US"/>
        </w:rPr>
      </w:pPr>
      <w:r w:rsidRPr="00C52367">
        <w:rPr>
          <w:rFonts w:ascii="Times New Roman" w:hAnsi="Times New Roman"/>
          <w:sz w:val="24"/>
          <w:szCs w:val="24"/>
          <w:lang w:val="en-US"/>
        </w:rPr>
        <w:t xml:space="preserve">Criterion 20: While we appreciate the necessity to foresee a minimum track record of performance data we point out that </w:t>
      </w:r>
      <w:r w:rsidR="002A46C5">
        <w:rPr>
          <w:rFonts w:ascii="Times New Roman" w:hAnsi="Times New Roman"/>
          <w:sz w:val="24"/>
          <w:szCs w:val="24"/>
          <w:lang w:val="en-US"/>
        </w:rPr>
        <w:t xml:space="preserve">a period of at least </w:t>
      </w:r>
      <w:r w:rsidRPr="00C52367">
        <w:rPr>
          <w:rFonts w:ascii="Times New Roman" w:hAnsi="Times New Roman"/>
          <w:sz w:val="24"/>
          <w:szCs w:val="24"/>
          <w:lang w:val="en-US"/>
        </w:rPr>
        <w:t xml:space="preserve">5 years </w:t>
      </w:r>
      <w:r w:rsidR="002A46C5">
        <w:rPr>
          <w:rFonts w:ascii="Times New Roman" w:hAnsi="Times New Roman"/>
          <w:sz w:val="24"/>
          <w:szCs w:val="24"/>
          <w:lang w:val="en-US"/>
        </w:rPr>
        <w:t>is excessive</w:t>
      </w:r>
      <w:r w:rsidR="00A748EF">
        <w:rPr>
          <w:rFonts w:ascii="Times New Roman" w:hAnsi="Times New Roman"/>
          <w:sz w:val="24"/>
          <w:szCs w:val="24"/>
          <w:lang w:val="en-US"/>
        </w:rPr>
        <w:t xml:space="preserve"> </w:t>
      </w:r>
      <w:r w:rsidRPr="00C52367">
        <w:rPr>
          <w:rFonts w:ascii="Times New Roman" w:hAnsi="Times New Roman"/>
          <w:sz w:val="24"/>
          <w:szCs w:val="24"/>
          <w:lang w:val="en-US"/>
        </w:rPr>
        <w:t xml:space="preserve">for certain asset classes (e.g. factoring). </w:t>
      </w:r>
      <w:r>
        <w:rPr>
          <w:rFonts w:ascii="Times New Roman" w:hAnsi="Times New Roman"/>
          <w:sz w:val="24"/>
          <w:szCs w:val="24"/>
          <w:lang w:val="en-US"/>
        </w:rPr>
        <w:t>Therefore,</w:t>
      </w:r>
      <w:r w:rsidRPr="00C52367">
        <w:rPr>
          <w:rFonts w:ascii="Times New Roman" w:hAnsi="Times New Roman"/>
          <w:sz w:val="24"/>
          <w:szCs w:val="24"/>
          <w:lang w:val="en-US"/>
        </w:rPr>
        <w:t xml:space="preserve"> we believe it appropriate to differentiate the depth of historical performance data required according to the asset class involved </w:t>
      </w:r>
      <w:r w:rsidR="00A748EF">
        <w:rPr>
          <w:rFonts w:ascii="Times New Roman" w:hAnsi="Times New Roman"/>
          <w:sz w:val="24"/>
          <w:szCs w:val="24"/>
          <w:lang w:val="en-US"/>
        </w:rPr>
        <w:t>(2 years for assets with short term maturity such as trade receivables)</w:t>
      </w:r>
      <w:r>
        <w:rPr>
          <w:rFonts w:ascii="Times New Roman" w:hAnsi="Times New Roman"/>
          <w:sz w:val="24"/>
          <w:szCs w:val="24"/>
          <w:lang w:val="en-US"/>
        </w:rPr>
        <w:t xml:space="preserve">. </w:t>
      </w:r>
    </w:p>
    <w:p w14:paraId="23D54447" w14:textId="77777777" w:rsidR="006D53C7" w:rsidRDefault="00152440" w:rsidP="00152440">
      <w:pPr>
        <w:numPr>
          <w:ilvl w:val="0"/>
          <w:numId w:val="12"/>
        </w:numPr>
        <w:jc w:val="both"/>
        <w:rPr>
          <w:rFonts w:ascii="Times New Roman" w:hAnsi="Times New Roman"/>
          <w:sz w:val="24"/>
          <w:szCs w:val="24"/>
          <w:lang w:val="en-US"/>
        </w:rPr>
      </w:pPr>
      <w:r>
        <w:rPr>
          <w:rFonts w:ascii="Times New Roman" w:hAnsi="Times New Roman"/>
          <w:sz w:val="24"/>
          <w:szCs w:val="24"/>
          <w:lang w:val="en-US"/>
        </w:rPr>
        <w:t>Criterion 21: W</w:t>
      </w:r>
      <w:r w:rsidRPr="007D74E8">
        <w:rPr>
          <w:rFonts w:ascii="Times New Roman" w:hAnsi="Times New Roman"/>
          <w:sz w:val="24"/>
          <w:szCs w:val="24"/>
          <w:lang w:val="en-US"/>
        </w:rPr>
        <w:t>e believe investors should rely on data already available in public data bases</w:t>
      </w:r>
      <w:r>
        <w:rPr>
          <w:rFonts w:ascii="Times New Roman" w:hAnsi="Times New Roman"/>
          <w:sz w:val="24"/>
          <w:szCs w:val="24"/>
          <w:lang w:val="en-US"/>
        </w:rPr>
        <w:t xml:space="preserve">, </w:t>
      </w:r>
      <w:r w:rsidRPr="007D74E8">
        <w:rPr>
          <w:rFonts w:ascii="Times New Roman" w:hAnsi="Times New Roman"/>
          <w:sz w:val="24"/>
          <w:szCs w:val="24"/>
          <w:lang w:val="en-US"/>
        </w:rPr>
        <w:t>namely in the European Data Warehouse</w:t>
      </w:r>
      <w:r>
        <w:rPr>
          <w:rFonts w:ascii="Times New Roman" w:hAnsi="Times New Roman"/>
          <w:sz w:val="24"/>
          <w:szCs w:val="24"/>
          <w:lang w:val="en-US"/>
        </w:rPr>
        <w:t xml:space="preserve">. </w:t>
      </w:r>
    </w:p>
    <w:p w14:paraId="35788A20" w14:textId="77777777" w:rsidR="006D53C7" w:rsidRDefault="006D53C7" w:rsidP="006D53C7">
      <w:pPr>
        <w:numPr>
          <w:ilvl w:val="0"/>
          <w:numId w:val="12"/>
        </w:numPr>
        <w:jc w:val="both"/>
        <w:rPr>
          <w:rFonts w:ascii="Times New Roman" w:hAnsi="Times New Roman"/>
          <w:sz w:val="24"/>
          <w:szCs w:val="24"/>
          <w:lang w:val="en-US"/>
        </w:rPr>
      </w:pPr>
      <w:r>
        <w:rPr>
          <w:rFonts w:ascii="Times New Roman" w:hAnsi="Times New Roman"/>
          <w:sz w:val="24"/>
          <w:szCs w:val="24"/>
          <w:lang w:val="en-US"/>
        </w:rPr>
        <w:lastRenderedPageBreak/>
        <w:t xml:space="preserve">Criterion 22: </w:t>
      </w:r>
    </w:p>
    <w:p w14:paraId="6C57B2B5" w14:textId="77777777" w:rsidR="006D53C7" w:rsidRDefault="006D53C7" w:rsidP="006D53C7">
      <w:pPr>
        <w:numPr>
          <w:ilvl w:val="1"/>
          <w:numId w:val="12"/>
        </w:numPr>
        <w:jc w:val="both"/>
        <w:rPr>
          <w:rFonts w:ascii="Times New Roman" w:hAnsi="Times New Roman"/>
          <w:sz w:val="24"/>
          <w:szCs w:val="24"/>
          <w:lang w:val="en-US"/>
        </w:rPr>
      </w:pPr>
      <w:r>
        <w:rPr>
          <w:rFonts w:ascii="Times New Roman" w:hAnsi="Times New Roman"/>
          <w:sz w:val="24"/>
          <w:szCs w:val="24"/>
          <w:lang w:val="en-US"/>
        </w:rPr>
        <w:t xml:space="preserve">2nd sentence, first bullet point: only data on delinquencies and defaults in the pool can be delivered; </w:t>
      </w:r>
    </w:p>
    <w:p w14:paraId="303B538F" w14:textId="36BACE2C" w:rsidR="00152440" w:rsidRPr="00BD7E75" w:rsidRDefault="006D53C7" w:rsidP="0009302E">
      <w:pPr>
        <w:numPr>
          <w:ilvl w:val="1"/>
          <w:numId w:val="12"/>
        </w:numPr>
        <w:jc w:val="both"/>
        <w:rPr>
          <w:rFonts w:ascii="Times New Roman" w:hAnsi="Times New Roman"/>
          <w:sz w:val="24"/>
          <w:szCs w:val="24"/>
          <w:lang w:val="en-US"/>
        </w:rPr>
      </w:pPr>
      <w:r>
        <w:rPr>
          <w:rFonts w:ascii="Times New Roman" w:hAnsi="Times New Roman"/>
          <w:sz w:val="24"/>
          <w:szCs w:val="24"/>
          <w:lang w:val="en-US"/>
        </w:rPr>
        <w:t>2nd sentence, 2</w:t>
      </w:r>
      <w:r w:rsidRPr="007937C7">
        <w:rPr>
          <w:rFonts w:ascii="Times New Roman" w:hAnsi="Times New Roman"/>
          <w:sz w:val="24"/>
          <w:szCs w:val="24"/>
          <w:lang w:val="en-US"/>
        </w:rPr>
        <w:t>nd</w:t>
      </w:r>
      <w:r>
        <w:rPr>
          <w:rFonts w:ascii="Times New Roman" w:hAnsi="Times New Roman"/>
          <w:sz w:val="24"/>
          <w:szCs w:val="24"/>
          <w:lang w:val="en-US"/>
        </w:rPr>
        <w:t xml:space="preserve"> bullet point: only data on the cash flows of the securitization can be delivered without any separate disclosure on income and disbursements, as well as data on the breach of waterfall triggers and changes in waterfall that this entails.</w:t>
      </w:r>
    </w:p>
    <w:p w14:paraId="7617406D" w14:textId="21909A43" w:rsidR="00081D02" w:rsidRPr="00860D63" w:rsidRDefault="00081D02" w:rsidP="00860D63">
      <w:pPr>
        <w:pStyle w:val="ListParagraph"/>
        <w:numPr>
          <w:ilvl w:val="0"/>
          <w:numId w:val="12"/>
        </w:numPr>
        <w:jc w:val="both"/>
        <w:rPr>
          <w:rFonts w:ascii="Times New Roman" w:hAnsi="Times New Roman" w:cs="Times New Roman"/>
          <w:sz w:val="24"/>
          <w:szCs w:val="24"/>
          <w:lang w:val="en-US"/>
        </w:rPr>
      </w:pPr>
      <w:r w:rsidRPr="00860D63">
        <w:rPr>
          <w:rFonts w:ascii="Times New Roman" w:hAnsi="Times New Roman" w:cs="Times New Roman"/>
          <w:sz w:val="24"/>
          <w:szCs w:val="24"/>
          <w:lang w:val="en-US"/>
        </w:rPr>
        <w:t>Criterion B (Granularity and Group of connected clients): Identification of the group of connected clients can be very challenging in the retail bulk business and can imply high operational costs with little benefit from a risk management perspective. In many cases there are thresholds in place in the retail bulk business to reduce the workload to strike the right balance between operating costs and the necessity to identify single risks to ensure proper risk identification and to comply with requirements. Thus, to ensure that the identification of the group of connected clients can be based on the existing processes of the originator who has to identify group of connected clients it should be added the words “to the best knowledge of the originator”.</w:t>
      </w:r>
    </w:p>
    <w:p w14:paraId="6F0151CA" w14:textId="530A6E49" w:rsidR="00152440" w:rsidRPr="00C52367" w:rsidRDefault="006D53C7" w:rsidP="00152440">
      <w:pPr>
        <w:jc w:val="both"/>
        <w:rPr>
          <w:rFonts w:ascii="Times New Roman" w:hAnsi="Times New Roman"/>
          <w:sz w:val="24"/>
          <w:szCs w:val="24"/>
          <w:lang w:val="en-US"/>
        </w:rPr>
      </w:pPr>
      <w:r>
        <w:rPr>
          <w:rFonts w:ascii="Times New Roman" w:hAnsi="Times New Roman"/>
          <w:sz w:val="24"/>
          <w:szCs w:val="24"/>
          <w:lang w:val="en-US"/>
        </w:rPr>
        <w:t xml:space="preserve">As far as the proposed credit risk criteria are concerned, </w:t>
      </w:r>
      <w:r w:rsidR="002A46C5">
        <w:rPr>
          <w:rFonts w:ascii="Times New Roman" w:hAnsi="Times New Roman"/>
          <w:sz w:val="24"/>
          <w:szCs w:val="24"/>
          <w:lang w:val="en-US"/>
        </w:rPr>
        <w:t xml:space="preserve">we </w:t>
      </w:r>
      <w:r w:rsidR="002A46C5" w:rsidRPr="00E0478C">
        <w:rPr>
          <w:rFonts w:ascii="Times New Roman" w:hAnsi="Times New Roman"/>
          <w:sz w:val="24"/>
          <w:szCs w:val="24"/>
          <w:lang w:val="en-US"/>
        </w:rPr>
        <w:t xml:space="preserve">consider that </w:t>
      </w:r>
      <w:r w:rsidR="002A46C5">
        <w:rPr>
          <w:rFonts w:ascii="Times New Roman" w:hAnsi="Times New Roman"/>
          <w:sz w:val="24"/>
          <w:szCs w:val="24"/>
          <w:lang w:val="en-US"/>
        </w:rPr>
        <w:t>Criterion C i) should be amended to include exposures to individuals or undertakings that are resident, domiciled or established in EEA jurisdiction</w:t>
      </w:r>
      <w:r w:rsidR="002A46C5" w:rsidRPr="00E0478C">
        <w:rPr>
          <w:rFonts w:ascii="Times New Roman" w:hAnsi="Times New Roman"/>
          <w:b/>
          <w:sz w:val="24"/>
          <w:szCs w:val="24"/>
          <w:u w:val="single"/>
          <w:lang w:val="en-US"/>
        </w:rPr>
        <w:t>s</w:t>
      </w:r>
      <w:r w:rsidR="002A46C5" w:rsidRPr="00E0478C">
        <w:rPr>
          <w:rFonts w:ascii="Times New Roman" w:hAnsi="Times New Roman"/>
          <w:sz w:val="24"/>
          <w:szCs w:val="24"/>
          <w:lang w:val="en-US"/>
        </w:rPr>
        <w:t xml:space="preserve">, </w:t>
      </w:r>
      <w:r w:rsidR="002A46C5">
        <w:rPr>
          <w:rFonts w:ascii="Times New Roman" w:hAnsi="Times New Roman"/>
          <w:sz w:val="24"/>
          <w:szCs w:val="24"/>
          <w:lang w:val="en-US"/>
        </w:rPr>
        <w:t xml:space="preserve">in order </w:t>
      </w:r>
      <w:r w:rsidR="002A46C5" w:rsidRPr="00E0478C">
        <w:rPr>
          <w:rFonts w:ascii="Times New Roman" w:hAnsi="Times New Roman"/>
          <w:sz w:val="24"/>
          <w:szCs w:val="24"/>
          <w:lang w:val="en-US"/>
        </w:rPr>
        <w:t>to allow exposures to multiple countries (see comments relating to question 4).</w:t>
      </w:r>
      <w:r w:rsidR="002A46C5">
        <w:rPr>
          <w:rFonts w:ascii="Times New Roman" w:hAnsi="Times New Roman"/>
          <w:sz w:val="24"/>
          <w:szCs w:val="24"/>
          <w:lang w:val="en-US"/>
        </w:rPr>
        <w:t xml:space="preserve"> W</w:t>
      </w:r>
      <w:r>
        <w:rPr>
          <w:rFonts w:ascii="Times New Roman" w:hAnsi="Times New Roman"/>
          <w:sz w:val="24"/>
          <w:szCs w:val="24"/>
          <w:lang w:val="en-US"/>
        </w:rPr>
        <w:t xml:space="preserve">e would like to stress that criterion C ii) is in our opinion built upon “assumptions” as originating banks which apply the IRB approach can neither comply with this criterion nor check the conditions. In Criterion C iii) the last sentence should be more specific: </w:t>
      </w:r>
      <w:r w:rsidRPr="0011742F">
        <w:rPr>
          <w:rFonts w:ascii="Times New Roman" w:hAnsi="Times New Roman"/>
          <w:sz w:val="24"/>
          <w:szCs w:val="24"/>
          <w:lang w:val="en-US"/>
        </w:rPr>
        <w:t xml:space="preserve">Under (a) no loan in the securitised portfolio should be characterised by a loan-to-value ratio </w:t>
      </w:r>
      <w:r w:rsidR="000B274A">
        <w:rPr>
          <w:rFonts w:ascii="Times New Roman" w:hAnsi="Times New Roman"/>
          <w:sz w:val="24"/>
          <w:szCs w:val="24"/>
          <w:lang w:val="en-US"/>
        </w:rPr>
        <w:t>or loan-to-income ratio</w:t>
      </w:r>
      <w:r w:rsidR="008B4B85">
        <w:rPr>
          <w:rFonts w:ascii="Times New Roman" w:hAnsi="Times New Roman"/>
          <w:sz w:val="24"/>
          <w:szCs w:val="24"/>
          <w:lang w:val="en-US"/>
        </w:rPr>
        <w:t xml:space="preserve"> at origination</w:t>
      </w:r>
      <w:r w:rsidR="000B274A">
        <w:rPr>
          <w:rFonts w:ascii="Times New Roman" w:hAnsi="Times New Roman"/>
          <w:sz w:val="24"/>
          <w:szCs w:val="24"/>
          <w:lang w:val="en-US"/>
        </w:rPr>
        <w:t>, depending on what ratio is more appropriate for each jurisdiction, that exceeds a threshold</w:t>
      </w:r>
      <w:r>
        <w:rPr>
          <w:rFonts w:ascii="Times New Roman" w:hAnsi="Times New Roman"/>
          <w:sz w:val="24"/>
          <w:szCs w:val="24"/>
          <w:lang w:val="en-US"/>
        </w:rPr>
        <w:t xml:space="preserve"> at inclusion</w:t>
      </w:r>
      <w:r w:rsidRPr="0011742F">
        <w:rPr>
          <w:rFonts w:ascii="Times New Roman" w:hAnsi="Times New Roman"/>
          <w:sz w:val="24"/>
          <w:szCs w:val="24"/>
          <w:lang w:val="en-US"/>
        </w:rPr>
        <w:t>.</w:t>
      </w:r>
      <w:r>
        <w:rPr>
          <w:rFonts w:ascii="Times New Roman" w:hAnsi="Times New Roman"/>
          <w:sz w:val="24"/>
          <w:szCs w:val="24"/>
          <w:lang w:val="en-US"/>
        </w:rPr>
        <w:t xml:space="preserve"> </w:t>
      </w:r>
      <w:r w:rsidR="00152440" w:rsidRPr="00C52367">
        <w:rPr>
          <w:rFonts w:ascii="Times New Roman" w:hAnsi="Times New Roman"/>
          <w:sz w:val="24"/>
          <w:szCs w:val="24"/>
          <w:lang w:val="en-US"/>
        </w:rPr>
        <w:t xml:space="preserve"> </w:t>
      </w:r>
    </w:p>
    <w:p w14:paraId="730397DC" w14:textId="77777777" w:rsidR="00152440" w:rsidRPr="00A72747" w:rsidRDefault="00152440" w:rsidP="00152440">
      <w:pPr>
        <w:jc w:val="both"/>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52440" w:rsidRPr="00C75151" w14:paraId="6B73DDD9" w14:textId="77777777" w:rsidTr="00022249">
        <w:tc>
          <w:tcPr>
            <w:tcW w:w="9212" w:type="dxa"/>
          </w:tcPr>
          <w:p w14:paraId="6BE5D6F1" w14:textId="77777777" w:rsidR="00152440" w:rsidRPr="00A45623" w:rsidRDefault="00152440" w:rsidP="00022249">
            <w:pPr>
              <w:spacing w:before="120"/>
              <w:jc w:val="both"/>
              <w:rPr>
                <w:rFonts w:ascii="Times New Roman" w:hAnsi="Times New Roman"/>
                <w:b/>
                <w:sz w:val="24"/>
                <w:szCs w:val="24"/>
                <w:lang w:val="en-GB"/>
              </w:rPr>
            </w:pPr>
            <w:r>
              <w:rPr>
                <w:rFonts w:ascii="Times New Roman" w:hAnsi="Times New Roman"/>
                <w:b/>
                <w:sz w:val="24"/>
                <w:szCs w:val="24"/>
                <w:lang w:val="en-GB"/>
              </w:rPr>
              <w:t xml:space="preserve">Question 9: </w:t>
            </w:r>
            <w:r w:rsidRPr="001A6081">
              <w:rPr>
                <w:rFonts w:ascii="Times New Roman" w:hAnsi="Times New Roman"/>
                <w:b/>
                <w:sz w:val="24"/>
                <w:szCs w:val="24"/>
                <w:lang w:val="en-GB"/>
              </w:rPr>
              <w:t>Do you envisage any potential adverse market consequences of introducing a qualifying securitisation framework for regulatory purposes?</w:t>
            </w:r>
            <w:r>
              <w:rPr>
                <w:rFonts w:ascii="Times New Roman" w:hAnsi="Times New Roman"/>
                <w:b/>
                <w:sz w:val="24"/>
                <w:szCs w:val="24"/>
                <w:lang w:val="en-GB"/>
              </w:rPr>
              <w:t xml:space="preserve"> </w:t>
            </w:r>
            <w:r w:rsidRPr="00A45623">
              <w:rPr>
                <w:rFonts w:ascii="Times New Roman" w:hAnsi="Times New Roman"/>
                <w:b/>
                <w:sz w:val="24"/>
                <w:szCs w:val="24"/>
                <w:lang w:val="en-GB"/>
              </w:rPr>
              <w:t xml:space="preserve"> </w:t>
            </w:r>
          </w:p>
        </w:tc>
      </w:tr>
    </w:tbl>
    <w:p w14:paraId="5712C93D" w14:textId="77777777" w:rsidR="00152440" w:rsidRPr="00A72747" w:rsidRDefault="00152440" w:rsidP="00152440">
      <w:pPr>
        <w:jc w:val="both"/>
        <w:rPr>
          <w:rFonts w:ascii="Times New Roman" w:hAnsi="Times New Roman"/>
          <w:sz w:val="24"/>
          <w:szCs w:val="24"/>
          <w:lang w:val="en-GB"/>
        </w:rPr>
      </w:pPr>
    </w:p>
    <w:p w14:paraId="06BF094C" w14:textId="77777777" w:rsidR="00152440" w:rsidRDefault="00152440" w:rsidP="00152440">
      <w:pPr>
        <w:jc w:val="both"/>
        <w:rPr>
          <w:rFonts w:ascii="Times New Roman" w:hAnsi="Times New Roman"/>
          <w:sz w:val="24"/>
          <w:szCs w:val="24"/>
          <w:lang w:val="en-GB"/>
        </w:rPr>
      </w:pPr>
      <w:r w:rsidRPr="00E663B8">
        <w:rPr>
          <w:rFonts w:ascii="Times New Roman" w:hAnsi="Times New Roman"/>
          <w:sz w:val="24"/>
          <w:szCs w:val="24"/>
          <w:lang w:val="en-GB"/>
        </w:rPr>
        <w:t>We do not envisage any potential adverse market consequences, as long as the proposed criteria – while being prudent – allow for a reasonably wide range of transactions of different credit quality to be included, so as not to partition the market in a sort of “good” and ”bad” categories. If properly defined</w:t>
      </w:r>
      <w:r>
        <w:rPr>
          <w:rFonts w:ascii="Times New Roman" w:hAnsi="Times New Roman"/>
          <w:sz w:val="24"/>
          <w:szCs w:val="24"/>
          <w:lang w:val="en-GB"/>
        </w:rPr>
        <w:t>, a “qualifying securitis</w:t>
      </w:r>
      <w:r w:rsidRPr="00E663B8">
        <w:rPr>
          <w:rFonts w:ascii="Times New Roman" w:hAnsi="Times New Roman"/>
          <w:sz w:val="24"/>
          <w:szCs w:val="24"/>
          <w:lang w:val="en-GB"/>
        </w:rPr>
        <w:t>ation” framework for regulatory purposes would simply represent a way to make the regulatory requirements more risk-sensitive, in that regulatory authorities could guarantee a preferential treatment in terms of liquidity and capital requirements to transactions inherently less risky.</w:t>
      </w:r>
      <w:r>
        <w:rPr>
          <w:rFonts w:ascii="Times New Roman" w:hAnsi="Times New Roman"/>
          <w:sz w:val="24"/>
          <w:szCs w:val="24"/>
          <w:lang w:val="en-GB"/>
        </w:rPr>
        <w:t xml:space="preserve"> </w:t>
      </w:r>
    </w:p>
    <w:p w14:paraId="6BBA610C" w14:textId="02F5B331" w:rsidR="00F25A76" w:rsidRPr="00F25A76" w:rsidRDefault="00F25A76" w:rsidP="00F25A76">
      <w:pPr>
        <w:jc w:val="both"/>
        <w:rPr>
          <w:rFonts w:ascii="Times New Roman" w:hAnsi="Times New Roman"/>
          <w:sz w:val="24"/>
          <w:szCs w:val="24"/>
          <w:lang w:val="en-GB"/>
        </w:rPr>
      </w:pPr>
      <w:r w:rsidRPr="00F25A76">
        <w:rPr>
          <w:rFonts w:ascii="Times New Roman" w:hAnsi="Times New Roman"/>
          <w:sz w:val="24"/>
          <w:szCs w:val="24"/>
          <w:lang w:val="en-GB"/>
        </w:rPr>
        <w:t xml:space="preserve">However, there is the risk to implement a 2 tier framework where the market for securitisations which are not deemed qualifying, would collapse. For example, trade receivables are helping funding the European corporates and SMEs, they had very low losses and should not be excluded. The qualifying securitisation framework should aim at excluding only the asset </w:t>
      </w:r>
      <w:r w:rsidRPr="00F25A76">
        <w:rPr>
          <w:rFonts w:ascii="Times New Roman" w:hAnsi="Times New Roman"/>
          <w:sz w:val="24"/>
          <w:szCs w:val="24"/>
          <w:lang w:val="en-GB"/>
        </w:rPr>
        <w:lastRenderedPageBreak/>
        <w:t>classes which performed very badly during the crisis, as the EBA discussion paper has noted a big difference in performance among asset classes and countries.</w:t>
      </w:r>
    </w:p>
    <w:p w14:paraId="3CFE95DB" w14:textId="67A36783" w:rsidR="00F25A76" w:rsidRDefault="00F25A76" w:rsidP="00F25A76">
      <w:pPr>
        <w:jc w:val="both"/>
        <w:rPr>
          <w:rFonts w:ascii="Times New Roman" w:hAnsi="Times New Roman"/>
          <w:sz w:val="24"/>
          <w:szCs w:val="24"/>
          <w:lang w:val="en-GB"/>
        </w:rPr>
      </w:pPr>
      <w:r w:rsidRPr="00F25A76">
        <w:rPr>
          <w:rFonts w:ascii="Times New Roman" w:hAnsi="Times New Roman"/>
          <w:sz w:val="24"/>
          <w:szCs w:val="24"/>
          <w:lang w:val="en-GB"/>
        </w:rPr>
        <w:t xml:space="preserve">The framework should also avoid threshold effects where for example there would be a huge difference in capital requirements between a securitisation of a pool with </w:t>
      </w:r>
      <w:r w:rsidR="002A46C5">
        <w:rPr>
          <w:rFonts w:ascii="Times New Roman" w:hAnsi="Times New Roman"/>
          <w:sz w:val="24"/>
          <w:szCs w:val="24"/>
          <w:lang w:val="en-GB"/>
        </w:rPr>
        <w:t>a certain</w:t>
      </w:r>
      <w:r w:rsidRPr="00F25A76">
        <w:rPr>
          <w:rFonts w:ascii="Times New Roman" w:hAnsi="Times New Roman"/>
          <w:sz w:val="24"/>
          <w:szCs w:val="24"/>
          <w:lang w:val="en-GB"/>
        </w:rPr>
        <w:t xml:space="preserve"> borrower concentration and a securitisation of an asset pool with </w:t>
      </w:r>
      <w:r w:rsidR="002A46C5">
        <w:rPr>
          <w:rFonts w:ascii="Times New Roman" w:hAnsi="Times New Roman"/>
          <w:sz w:val="24"/>
          <w:szCs w:val="24"/>
          <w:lang w:val="en-GB"/>
        </w:rPr>
        <w:t>a marginally higher</w:t>
      </w:r>
      <w:r w:rsidRPr="00F25A76">
        <w:rPr>
          <w:rFonts w:ascii="Times New Roman" w:hAnsi="Times New Roman"/>
          <w:sz w:val="24"/>
          <w:szCs w:val="24"/>
          <w:lang w:val="en-GB"/>
        </w:rPr>
        <w:t xml:space="preserve"> borrower concentration. The more so if the securitisation with </w:t>
      </w:r>
      <w:r w:rsidR="002A46C5">
        <w:rPr>
          <w:rFonts w:ascii="Times New Roman" w:hAnsi="Times New Roman"/>
          <w:sz w:val="24"/>
          <w:szCs w:val="24"/>
          <w:lang w:val="en-GB"/>
        </w:rPr>
        <w:t>higher</w:t>
      </w:r>
      <w:r w:rsidRPr="00F25A76">
        <w:rPr>
          <w:rFonts w:ascii="Times New Roman" w:hAnsi="Times New Roman"/>
          <w:sz w:val="24"/>
          <w:szCs w:val="24"/>
          <w:lang w:val="en-GB"/>
        </w:rPr>
        <w:t xml:space="preserve"> borrower concentration is structured with much higher credit enhancement. There should be a penalty applied proportionally to the assets which are above the threshold.</w:t>
      </w:r>
      <w:r>
        <w:rPr>
          <w:rFonts w:ascii="Times New Roman" w:hAnsi="Times New Roman"/>
          <w:sz w:val="24"/>
          <w:szCs w:val="24"/>
          <w:lang w:val="en-GB"/>
        </w:rPr>
        <w:t xml:space="preserve"> </w:t>
      </w:r>
    </w:p>
    <w:p w14:paraId="69D45DCE" w14:textId="77777777" w:rsidR="00152440" w:rsidRPr="00E663B8" w:rsidRDefault="00152440" w:rsidP="00152440">
      <w:pPr>
        <w:jc w:val="both"/>
        <w:rPr>
          <w:rFonts w:ascii="Times New Roman" w:hAnsi="Times New Roman"/>
          <w:sz w:val="24"/>
          <w:szCs w:val="24"/>
          <w:lang w:val="en-GB"/>
        </w:rPr>
      </w:pPr>
      <w:r>
        <w:rPr>
          <w:rFonts w:ascii="Times New Roman" w:hAnsi="Times New Roman"/>
          <w:sz w:val="24"/>
          <w:szCs w:val="24"/>
          <w:lang w:val="en-GB"/>
        </w:rPr>
        <w:t xml:space="preserve">The ambition should be to include a wide range of securitisations under the qualifying securitisation framework lest the excluded ones would face a competitive disadvantage. </w:t>
      </w:r>
    </w:p>
    <w:p w14:paraId="131FA6B1" w14:textId="77777777" w:rsidR="00152440" w:rsidRPr="00A72747" w:rsidRDefault="00152440" w:rsidP="00152440">
      <w:pPr>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52440" w:rsidRPr="00C75151" w14:paraId="09416CB2" w14:textId="77777777" w:rsidTr="00022249">
        <w:tc>
          <w:tcPr>
            <w:tcW w:w="9212" w:type="dxa"/>
          </w:tcPr>
          <w:p w14:paraId="404A9BA2" w14:textId="77777777" w:rsidR="00152440" w:rsidRPr="00A45623" w:rsidRDefault="00152440" w:rsidP="00022249">
            <w:pPr>
              <w:spacing w:before="120"/>
              <w:jc w:val="both"/>
              <w:rPr>
                <w:rFonts w:ascii="Times New Roman" w:hAnsi="Times New Roman"/>
                <w:b/>
                <w:sz w:val="24"/>
                <w:szCs w:val="24"/>
                <w:lang w:val="en-GB"/>
              </w:rPr>
            </w:pPr>
            <w:r>
              <w:rPr>
                <w:rFonts w:ascii="Times New Roman" w:hAnsi="Times New Roman"/>
                <w:b/>
                <w:sz w:val="24"/>
                <w:szCs w:val="24"/>
                <w:lang w:val="en-GB"/>
              </w:rPr>
              <w:t xml:space="preserve">Question 10: </w:t>
            </w:r>
            <w:r w:rsidRPr="001A6081">
              <w:rPr>
                <w:rFonts w:ascii="Times New Roman" w:hAnsi="Times New Roman"/>
                <w:b/>
                <w:sz w:val="24"/>
                <w:szCs w:val="24"/>
                <w:lang w:val="en-GB"/>
              </w:rPr>
              <w:t>How should capital requirements reflect the partition between qualifying and non-qualifying?</w:t>
            </w:r>
            <w:r>
              <w:rPr>
                <w:rFonts w:ascii="Times New Roman" w:hAnsi="Times New Roman"/>
                <w:b/>
                <w:sz w:val="24"/>
                <w:szCs w:val="24"/>
                <w:lang w:val="en-GB"/>
              </w:rPr>
              <w:t xml:space="preserve"> </w:t>
            </w:r>
            <w:r w:rsidRPr="00A45623">
              <w:rPr>
                <w:rFonts w:ascii="Times New Roman" w:hAnsi="Times New Roman"/>
                <w:b/>
                <w:sz w:val="24"/>
                <w:szCs w:val="24"/>
                <w:lang w:val="en-GB"/>
              </w:rPr>
              <w:t xml:space="preserve"> </w:t>
            </w:r>
          </w:p>
        </w:tc>
      </w:tr>
    </w:tbl>
    <w:p w14:paraId="2DF3B026" w14:textId="77777777" w:rsidR="00152440" w:rsidRPr="00A72747" w:rsidRDefault="00152440" w:rsidP="00152440">
      <w:pPr>
        <w:jc w:val="both"/>
        <w:rPr>
          <w:rFonts w:ascii="Times New Roman" w:hAnsi="Times New Roman"/>
          <w:sz w:val="24"/>
          <w:szCs w:val="24"/>
          <w:lang w:val="en-GB"/>
        </w:rPr>
      </w:pPr>
    </w:p>
    <w:p w14:paraId="78B96038" w14:textId="54928087" w:rsidR="00152440" w:rsidRPr="00075A27" w:rsidRDefault="00152440" w:rsidP="00152440">
      <w:pPr>
        <w:jc w:val="both"/>
        <w:rPr>
          <w:rFonts w:ascii="Times New Roman" w:hAnsi="Times New Roman"/>
          <w:sz w:val="24"/>
          <w:szCs w:val="24"/>
          <w:lang w:val="en-GB"/>
        </w:rPr>
      </w:pPr>
      <w:r w:rsidRPr="00075A27">
        <w:rPr>
          <w:rFonts w:ascii="Times New Roman" w:hAnsi="Times New Roman"/>
          <w:sz w:val="24"/>
          <w:szCs w:val="24"/>
          <w:lang w:val="en-GB"/>
        </w:rPr>
        <w:t>Given that the partition should properly capture an effective inherent lower riskiness of the “qualifying” transactions, both in terms of model risk and credit risk, capital requirements should be set lower for this type of transactions.</w:t>
      </w:r>
      <w:r w:rsidR="00F25A76">
        <w:rPr>
          <w:rFonts w:ascii="Times New Roman" w:hAnsi="Times New Roman"/>
          <w:sz w:val="24"/>
          <w:szCs w:val="24"/>
          <w:lang w:val="en-GB"/>
        </w:rPr>
        <w:t xml:space="preserve"> </w:t>
      </w:r>
      <w:r w:rsidR="00F25A76" w:rsidRPr="00F25A76">
        <w:rPr>
          <w:rFonts w:ascii="Times New Roman" w:hAnsi="Times New Roman"/>
          <w:sz w:val="24"/>
          <w:szCs w:val="24"/>
          <w:lang w:val="en-GB"/>
        </w:rPr>
        <w:t>In addition, the qualifying securitisation should use a different hierarchy of approaches: The SSFA should be used when possible before the rating based approach.</w:t>
      </w:r>
      <w:r w:rsidR="00F25A76">
        <w:rPr>
          <w:rFonts w:ascii="Times New Roman" w:hAnsi="Times New Roman"/>
          <w:sz w:val="24"/>
          <w:szCs w:val="24"/>
          <w:lang w:val="en-GB"/>
        </w:rPr>
        <w:t xml:space="preserve"> </w:t>
      </w:r>
    </w:p>
    <w:p w14:paraId="7AAD29F1" w14:textId="02C6F904" w:rsidR="00152440" w:rsidRPr="00075A27" w:rsidRDefault="00152440" w:rsidP="00152440">
      <w:pPr>
        <w:jc w:val="both"/>
        <w:rPr>
          <w:rFonts w:ascii="Times New Roman" w:hAnsi="Times New Roman"/>
          <w:sz w:val="24"/>
          <w:szCs w:val="24"/>
          <w:lang w:val="en-GB"/>
        </w:rPr>
      </w:pPr>
      <w:r w:rsidRPr="00075A27">
        <w:rPr>
          <w:rFonts w:ascii="Times New Roman" w:hAnsi="Times New Roman"/>
          <w:sz w:val="24"/>
          <w:szCs w:val="24"/>
          <w:lang w:val="en-GB"/>
        </w:rPr>
        <w:t xml:space="preserve">In particular, </w:t>
      </w:r>
      <w:r w:rsidR="00904231">
        <w:rPr>
          <w:rFonts w:ascii="Times New Roman" w:hAnsi="Times New Roman"/>
          <w:sz w:val="24"/>
          <w:szCs w:val="24"/>
          <w:lang w:val="en-GB"/>
        </w:rPr>
        <w:t>capital requirements for this type of transactions</w:t>
      </w:r>
      <w:r w:rsidRPr="00075A27">
        <w:rPr>
          <w:rFonts w:ascii="Times New Roman" w:hAnsi="Times New Roman"/>
          <w:sz w:val="24"/>
          <w:szCs w:val="24"/>
          <w:lang w:val="en-GB"/>
        </w:rPr>
        <w:t xml:space="preserve"> should be set so as to reduce the “non-neutrality” of the capital charges, i.e. the misalignment in the capital requirements attracted by the underlying pool and by the total tranches of a securitization of such pool.</w:t>
      </w:r>
    </w:p>
    <w:p w14:paraId="602F0E71" w14:textId="77777777" w:rsidR="00152440" w:rsidRPr="00075A27" w:rsidRDefault="00152440" w:rsidP="00152440">
      <w:pPr>
        <w:jc w:val="both"/>
        <w:rPr>
          <w:rFonts w:ascii="Times New Roman" w:hAnsi="Times New Roman"/>
          <w:sz w:val="24"/>
          <w:szCs w:val="24"/>
          <w:lang w:val="en-GB"/>
        </w:rPr>
      </w:pPr>
      <w:r w:rsidRPr="00075A27">
        <w:rPr>
          <w:rFonts w:ascii="Times New Roman" w:hAnsi="Times New Roman"/>
          <w:sz w:val="24"/>
          <w:szCs w:val="24"/>
          <w:lang w:val="en-GB"/>
        </w:rPr>
        <w:t xml:space="preserve">In this respect, we deem appropriate to delink the determination of capital charges from external rating based methodologies, so as to avoid situations where - due to </w:t>
      </w:r>
      <w:r>
        <w:rPr>
          <w:rFonts w:ascii="Times New Roman" w:hAnsi="Times New Roman"/>
          <w:sz w:val="24"/>
          <w:szCs w:val="24"/>
          <w:lang w:val="en-GB"/>
        </w:rPr>
        <w:t>credit rating agencies</w:t>
      </w:r>
      <w:r w:rsidRPr="00075A27">
        <w:rPr>
          <w:rFonts w:ascii="Times New Roman" w:hAnsi="Times New Roman"/>
          <w:sz w:val="24"/>
          <w:szCs w:val="24"/>
          <w:lang w:val="en-GB"/>
        </w:rPr>
        <w:t>’ methodological changes - predetermined capital charges associated to a certain rating grade aren’t anymore commensurate to the underlying credit risk. A widely documented situation in the securiti</w:t>
      </w:r>
      <w:r>
        <w:rPr>
          <w:rFonts w:ascii="Times New Roman" w:hAnsi="Times New Roman"/>
          <w:sz w:val="24"/>
          <w:szCs w:val="24"/>
          <w:lang w:val="en-GB"/>
        </w:rPr>
        <w:t>s</w:t>
      </w:r>
      <w:r w:rsidRPr="00075A27">
        <w:rPr>
          <w:rFonts w:ascii="Times New Roman" w:hAnsi="Times New Roman"/>
          <w:sz w:val="24"/>
          <w:szCs w:val="24"/>
          <w:lang w:val="en-GB"/>
        </w:rPr>
        <w:t xml:space="preserve">ation area - especially for certain asset classes and jurisdictions - highlighted also in the current EBA DP which states that: “the application of capital requirements currently in force </w:t>
      </w:r>
      <w:r>
        <w:rPr>
          <w:rFonts w:ascii="Times New Roman" w:hAnsi="Times New Roman"/>
          <w:sz w:val="24"/>
          <w:szCs w:val="24"/>
          <w:lang w:val="en-GB"/>
        </w:rPr>
        <w:t>(</w:t>
      </w:r>
      <w:r w:rsidRPr="00075A27">
        <w:rPr>
          <w:rFonts w:ascii="Times New Roman" w:hAnsi="Times New Roman"/>
          <w:sz w:val="24"/>
          <w:szCs w:val="24"/>
          <w:lang w:val="en-GB"/>
        </w:rPr>
        <w:t xml:space="preserve">i.e. set </w:t>
      </w:r>
      <w:r>
        <w:rPr>
          <w:rFonts w:ascii="Times New Roman" w:hAnsi="Times New Roman"/>
          <w:sz w:val="24"/>
          <w:szCs w:val="24"/>
          <w:lang w:val="en-GB"/>
        </w:rPr>
        <w:t xml:space="preserve">before </w:t>
      </w:r>
      <w:r w:rsidRPr="00075A27">
        <w:rPr>
          <w:rFonts w:ascii="Times New Roman" w:hAnsi="Times New Roman"/>
          <w:sz w:val="24"/>
          <w:szCs w:val="24"/>
          <w:lang w:val="en-GB"/>
        </w:rPr>
        <w:t>2010</w:t>
      </w:r>
      <w:r>
        <w:rPr>
          <w:rFonts w:ascii="Times New Roman" w:hAnsi="Times New Roman"/>
          <w:sz w:val="24"/>
          <w:szCs w:val="24"/>
          <w:lang w:val="en-GB"/>
        </w:rPr>
        <w:t>)</w:t>
      </w:r>
      <w:r w:rsidRPr="00075A27">
        <w:rPr>
          <w:rFonts w:ascii="Times New Roman" w:hAnsi="Times New Roman"/>
          <w:sz w:val="24"/>
          <w:szCs w:val="24"/>
          <w:lang w:val="en-GB"/>
        </w:rPr>
        <w:t xml:space="preserve"> to the new </w:t>
      </w:r>
      <w:r>
        <w:rPr>
          <w:rFonts w:ascii="Times New Roman" w:hAnsi="Times New Roman"/>
          <w:sz w:val="24"/>
          <w:szCs w:val="24"/>
          <w:lang w:val="en-GB"/>
        </w:rPr>
        <w:t>(</w:t>
      </w:r>
      <w:r w:rsidRPr="00075A27">
        <w:rPr>
          <w:rFonts w:ascii="Times New Roman" w:hAnsi="Times New Roman"/>
          <w:sz w:val="24"/>
          <w:szCs w:val="24"/>
          <w:lang w:val="en-GB"/>
        </w:rPr>
        <w:t>i.e. post 2010</w:t>
      </w:r>
      <w:r>
        <w:rPr>
          <w:rFonts w:ascii="Times New Roman" w:hAnsi="Times New Roman"/>
          <w:sz w:val="24"/>
          <w:szCs w:val="24"/>
          <w:lang w:val="en-GB"/>
        </w:rPr>
        <w:t>)</w:t>
      </w:r>
      <w:r w:rsidRPr="00075A27">
        <w:rPr>
          <w:rFonts w:ascii="Times New Roman" w:hAnsi="Times New Roman"/>
          <w:sz w:val="24"/>
          <w:szCs w:val="24"/>
          <w:lang w:val="en-GB"/>
        </w:rPr>
        <w:t xml:space="preserve"> structuring standards </w:t>
      </w:r>
      <w:r>
        <w:rPr>
          <w:rFonts w:ascii="Times New Roman" w:hAnsi="Times New Roman"/>
          <w:sz w:val="24"/>
          <w:szCs w:val="24"/>
          <w:lang w:val="en-GB"/>
        </w:rPr>
        <w:t>(</w:t>
      </w:r>
      <w:r w:rsidRPr="00075A27">
        <w:rPr>
          <w:rFonts w:ascii="Times New Roman" w:hAnsi="Times New Roman"/>
          <w:sz w:val="24"/>
          <w:szCs w:val="24"/>
          <w:lang w:val="en-GB"/>
        </w:rPr>
        <w:t>which imply a significant increase in credit enhancement levels for a certain rating grade</w:t>
      </w:r>
      <w:r>
        <w:rPr>
          <w:rFonts w:ascii="Times New Roman" w:hAnsi="Times New Roman"/>
          <w:sz w:val="24"/>
          <w:szCs w:val="24"/>
          <w:lang w:val="en-GB"/>
        </w:rPr>
        <w:t xml:space="preserve">) </w:t>
      </w:r>
      <w:r w:rsidRPr="00075A27">
        <w:rPr>
          <w:rFonts w:ascii="Times New Roman" w:hAnsi="Times New Roman"/>
          <w:sz w:val="24"/>
          <w:szCs w:val="24"/>
          <w:lang w:val="en-GB"/>
        </w:rPr>
        <w:t>leads to a material departure from the neutrality of the capital requirement”.</w:t>
      </w:r>
    </w:p>
    <w:p w14:paraId="0849E3B0" w14:textId="77777777" w:rsidR="00152440" w:rsidRPr="00075A27" w:rsidRDefault="00152440" w:rsidP="00152440">
      <w:pPr>
        <w:jc w:val="both"/>
        <w:rPr>
          <w:rFonts w:ascii="Times New Roman" w:hAnsi="Times New Roman"/>
          <w:sz w:val="24"/>
          <w:szCs w:val="24"/>
          <w:lang w:val="en-GB"/>
        </w:rPr>
      </w:pPr>
      <w:r w:rsidRPr="00075A27">
        <w:rPr>
          <w:rFonts w:ascii="Times New Roman" w:hAnsi="Times New Roman"/>
          <w:sz w:val="24"/>
          <w:szCs w:val="24"/>
          <w:lang w:val="en-GB"/>
        </w:rPr>
        <w:t xml:space="preserve">We would therefore favour using a formula-based approach to capital charges determination with a specific calibration for “qualifying” securitisations. </w:t>
      </w:r>
    </w:p>
    <w:p w14:paraId="15B09A3A" w14:textId="264BBB90" w:rsidR="00152440" w:rsidRPr="00075A27" w:rsidRDefault="00152440" w:rsidP="00152440">
      <w:pPr>
        <w:jc w:val="both"/>
        <w:rPr>
          <w:rFonts w:ascii="Times New Roman" w:hAnsi="Times New Roman"/>
          <w:sz w:val="24"/>
          <w:szCs w:val="24"/>
          <w:lang w:val="en-GB"/>
        </w:rPr>
      </w:pPr>
      <w:r w:rsidRPr="00075A27">
        <w:rPr>
          <w:rFonts w:ascii="Times New Roman" w:hAnsi="Times New Roman"/>
          <w:sz w:val="24"/>
          <w:szCs w:val="24"/>
          <w:lang w:val="en-GB"/>
        </w:rPr>
        <w:t>More specifically, given the availability under the current framework of only the SFA</w:t>
      </w:r>
      <w:r>
        <w:rPr>
          <w:rFonts w:ascii="Times New Roman" w:hAnsi="Times New Roman"/>
          <w:sz w:val="24"/>
          <w:szCs w:val="24"/>
          <w:lang w:val="en-GB"/>
        </w:rPr>
        <w:t>,</w:t>
      </w:r>
      <w:r w:rsidRPr="00075A27">
        <w:rPr>
          <w:rFonts w:ascii="Times New Roman" w:hAnsi="Times New Roman"/>
          <w:sz w:val="24"/>
          <w:szCs w:val="24"/>
          <w:lang w:val="en-GB"/>
        </w:rPr>
        <w:t xml:space="preserve"> an </w:t>
      </w:r>
      <w:r>
        <w:rPr>
          <w:rFonts w:ascii="Times New Roman" w:hAnsi="Times New Roman"/>
          <w:sz w:val="24"/>
          <w:szCs w:val="24"/>
          <w:lang w:val="en-GB"/>
        </w:rPr>
        <w:t>Internal Rating Based (</w:t>
      </w:r>
      <w:r w:rsidRPr="00075A27">
        <w:rPr>
          <w:rFonts w:ascii="Times New Roman" w:hAnsi="Times New Roman"/>
          <w:sz w:val="24"/>
          <w:szCs w:val="24"/>
          <w:lang w:val="en-GB"/>
        </w:rPr>
        <w:t>IRB</w:t>
      </w:r>
      <w:r>
        <w:rPr>
          <w:rFonts w:ascii="Times New Roman" w:hAnsi="Times New Roman"/>
          <w:sz w:val="24"/>
          <w:szCs w:val="24"/>
          <w:lang w:val="en-GB"/>
        </w:rPr>
        <w:t>)</w:t>
      </w:r>
      <w:r w:rsidRPr="00075A27">
        <w:rPr>
          <w:rFonts w:ascii="Times New Roman" w:hAnsi="Times New Roman"/>
          <w:sz w:val="24"/>
          <w:szCs w:val="24"/>
          <w:lang w:val="en-GB"/>
        </w:rPr>
        <w:t xml:space="preserve"> methodology</w:t>
      </w:r>
      <w:r>
        <w:rPr>
          <w:rFonts w:ascii="Times New Roman" w:hAnsi="Times New Roman"/>
          <w:sz w:val="24"/>
          <w:szCs w:val="24"/>
          <w:lang w:val="en-GB"/>
        </w:rPr>
        <w:t>,</w:t>
      </w:r>
      <w:r w:rsidRPr="00075A27">
        <w:rPr>
          <w:rFonts w:ascii="Times New Roman" w:hAnsi="Times New Roman"/>
          <w:sz w:val="24"/>
          <w:szCs w:val="24"/>
          <w:lang w:val="en-GB"/>
        </w:rPr>
        <w:t xml:space="preserve"> as a formula-based approach and the foreseen introduction of different formula based approaches under BCBS 269 (namely the SSFA to be used - with different parameteri</w:t>
      </w:r>
      <w:r>
        <w:rPr>
          <w:rFonts w:ascii="Times New Roman" w:hAnsi="Times New Roman"/>
          <w:sz w:val="24"/>
          <w:szCs w:val="24"/>
          <w:lang w:val="en-GB"/>
        </w:rPr>
        <w:t>s</w:t>
      </w:r>
      <w:r w:rsidRPr="00075A27">
        <w:rPr>
          <w:rFonts w:ascii="Times New Roman" w:hAnsi="Times New Roman"/>
          <w:sz w:val="24"/>
          <w:szCs w:val="24"/>
          <w:lang w:val="en-GB"/>
        </w:rPr>
        <w:t xml:space="preserve">ations – for both </w:t>
      </w:r>
      <w:r>
        <w:rPr>
          <w:rFonts w:ascii="Times New Roman" w:hAnsi="Times New Roman"/>
          <w:sz w:val="24"/>
          <w:szCs w:val="24"/>
          <w:lang w:val="en-GB"/>
        </w:rPr>
        <w:t>standardised</w:t>
      </w:r>
      <w:r w:rsidRPr="00075A27">
        <w:rPr>
          <w:rFonts w:ascii="Times New Roman" w:hAnsi="Times New Roman"/>
          <w:sz w:val="24"/>
          <w:szCs w:val="24"/>
          <w:lang w:val="en-GB"/>
        </w:rPr>
        <w:t xml:space="preserve"> and IRB exposures), and given also our previous support of the suggested calibration of the SSFA on an asset-class basis </w:t>
      </w:r>
      <w:r w:rsidRPr="00075A27">
        <w:rPr>
          <w:rFonts w:ascii="Times New Roman" w:hAnsi="Times New Roman"/>
          <w:sz w:val="24"/>
          <w:szCs w:val="24"/>
          <w:lang w:val="en-GB"/>
        </w:rPr>
        <w:lastRenderedPageBreak/>
        <w:t xml:space="preserve">through the </w:t>
      </w:r>
      <w:r>
        <w:rPr>
          <w:rFonts w:ascii="Times New Roman" w:hAnsi="Times New Roman"/>
          <w:sz w:val="24"/>
          <w:szCs w:val="24"/>
          <w:lang w:val="en-GB"/>
        </w:rPr>
        <w:t>Conservative Monotone Approach (</w:t>
      </w:r>
      <w:r w:rsidRPr="00075A27">
        <w:rPr>
          <w:rFonts w:ascii="Times New Roman" w:hAnsi="Times New Roman"/>
          <w:sz w:val="24"/>
          <w:szCs w:val="24"/>
          <w:lang w:val="en-GB"/>
        </w:rPr>
        <w:t>CMA</w:t>
      </w:r>
      <w:r>
        <w:rPr>
          <w:rFonts w:ascii="Times New Roman" w:hAnsi="Times New Roman"/>
          <w:sz w:val="24"/>
          <w:szCs w:val="24"/>
          <w:lang w:val="en-GB"/>
        </w:rPr>
        <w:t>)</w:t>
      </w:r>
      <w:r>
        <w:rPr>
          <w:rStyle w:val="FootnoteReference"/>
          <w:rFonts w:ascii="Times New Roman" w:hAnsi="Times New Roman"/>
          <w:sz w:val="24"/>
          <w:szCs w:val="24"/>
          <w:lang w:val="en-GB"/>
        </w:rPr>
        <w:footnoteReference w:id="10"/>
      </w:r>
      <w:r w:rsidRPr="00075A27">
        <w:rPr>
          <w:rFonts w:ascii="Times New Roman" w:hAnsi="Times New Roman"/>
          <w:sz w:val="24"/>
          <w:szCs w:val="24"/>
          <w:lang w:val="en-GB"/>
        </w:rPr>
        <w:t xml:space="preserve"> model , we support the proposal of a “European SSFA”, put forward in a recent paper by a group of industry professionals</w:t>
      </w:r>
      <w:r w:rsidR="008474EF">
        <w:rPr>
          <w:rFonts w:ascii="Times New Roman" w:hAnsi="Times New Roman"/>
          <w:sz w:val="24"/>
          <w:szCs w:val="24"/>
          <w:lang w:val="en-GB"/>
        </w:rPr>
        <w:t xml:space="preserve"> (</w:t>
      </w:r>
      <w:r w:rsidR="008474EF" w:rsidRPr="008474EF">
        <w:rPr>
          <w:rFonts w:ascii="Times New Roman" w:hAnsi="Times New Roman"/>
          <w:i/>
          <w:sz w:val="24"/>
          <w:szCs w:val="24"/>
          <w:lang w:val="en-GB"/>
        </w:rPr>
        <w:t xml:space="preserve">footnote number </w:t>
      </w:r>
      <w:r w:rsidR="003B3F69">
        <w:rPr>
          <w:rFonts w:ascii="Times New Roman" w:hAnsi="Times New Roman"/>
          <w:i/>
          <w:sz w:val="24"/>
          <w:szCs w:val="24"/>
          <w:lang w:val="en-GB"/>
        </w:rPr>
        <w:t>7</w:t>
      </w:r>
      <w:r w:rsidR="008474EF">
        <w:rPr>
          <w:rFonts w:ascii="Times New Roman" w:hAnsi="Times New Roman"/>
          <w:sz w:val="24"/>
          <w:szCs w:val="24"/>
          <w:lang w:val="en-GB"/>
        </w:rPr>
        <w:t>)</w:t>
      </w:r>
      <w:r w:rsidRPr="00075A27">
        <w:rPr>
          <w:rFonts w:ascii="Times New Roman" w:hAnsi="Times New Roman"/>
          <w:sz w:val="24"/>
          <w:szCs w:val="24"/>
          <w:lang w:val="en-GB"/>
        </w:rPr>
        <w:t>.</w:t>
      </w:r>
    </w:p>
    <w:p w14:paraId="33195AE5" w14:textId="77777777" w:rsidR="00152440" w:rsidRPr="00075A27" w:rsidRDefault="00152440" w:rsidP="00152440">
      <w:pPr>
        <w:jc w:val="both"/>
        <w:rPr>
          <w:rFonts w:ascii="Times New Roman" w:hAnsi="Times New Roman"/>
          <w:sz w:val="24"/>
          <w:szCs w:val="24"/>
          <w:lang w:val="en-GB"/>
        </w:rPr>
      </w:pPr>
      <w:r w:rsidRPr="00075A27">
        <w:rPr>
          <w:rFonts w:ascii="Times New Roman" w:hAnsi="Times New Roman"/>
          <w:sz w:val="24"/>
          <w:szCs w:val="24"/>
          <w:lang w:val="en-GB"/>
        </w:rPr>
        <w:t>In essence, the European SSFA would be similar to the BCBS 269 SSFA for the SA regime (and to the US SSFA), with specific values of the parameters determining the capital surcharge derived from calibration of the formula through the CMA to a set of key asset classes making up the “qualifying” securiti</w:t>
      </w:r>
      <w:r>
        <w:rPr>
          <w:rFonts w:ascii="Times New Roman" w:hAnsi="Times New Roman"/>
          <w:sz w:val="24"/>
          <w:szCs w:val="24"/>
          <w:lang w:val="en-GB"/>
        </w:rPr>
        <w:t>s</w:t>
      </w:r>
      <w:r w:rsidRPr="00075A27">
        <w:rPr>
          <w:rFonts w:ascii="Times New Roman" w:hAnsi="Times New Roman"/>
          <w:sz w:val="24"/>
          <w:szCs w:val="24"/>
          <w:lang w:val="en-GB"/>
        </w:rPr>
        <w:t xml:space="preserve">ation segment (Low </w:t>
      </w:r>
      <w:r>
        <w:rPr>
          <w:rFonts w:ascii="Times New Roman" w:hAnsi="Times New Roman"/>
          <w:sz w:val="24"/>
          <w:szCs w:val="24"/>
          <w:lang w:val="en-GB"/>
        </w:rPr>
        <w:t>risk weight</w:t>
      </w:r>
      <w:r w:rsidRPr="00075A27">
        <w:rPr>
          <w:rFonts w:ascii="Times New Roman" w:hAnsi="Times New Roman"/>
          <w:sz w:val="24"/>
          <w:szCs w:val="24"/>
          <w:lang w:val="en-GB"/>
        </w:rPr>
        <w:t xml:space="preserve"> RMBS, SMEs and Other Retail).    </w:t>
      </w:r>
    </w:p>
    <w:p w14:paraId="6EC0C307" w14:textId="77777777" w:rsidR="00152440" w:rsidRPr="00075A27" w:rsidRDefault="00152440" w:rsidP="00152440">
      <w:pPr>
        <w:jc w:val="both"/>
        <w:rPr>
          <w:rFonts w:ascii="Times New Roman" w:hAnsi="Times New Roman"/>
          <w:sz w:val="24"/>
          <w:szCs w:val="24"/>
          <w:lang w:val="en-GB"/>
        </w:rPr>
      </w:pPr>
      <w:r w:rsidRPr="00075A27">
        <w:rPr>
          <w:rFonts w:ascii="Times New Roman" w:hAnsi="Times New Roman"/>
          <w:sz w:val="24"/>
          <w:szCs w:val="24"/>
          <w:lang w:val="en-GB"/>
        </w:rPr>
        <w:t>The formula would result in a capital surcharge respectively of 15% of Kirb and 40% of Ksa for “qualifying” securitisations under the IRB or SA r</w:t>
      </w:r>
      <w:r>
        <w:rPr>
          <w:rFonts w:ascii="Times New Roman" w:hAnsi="Times New Roman"/>
          <w:sz w:val="24"/>
          <w:szCs w:val="24"/>
          <w:lang w:val="en-GB"/>
        </w:rPr>
        <w:t>e</w:t>
      </w:r>
      <w:r w:rsidRPr="00075A27">
        <w:rPr>
          <w:rFonts w:ascii="Times New Roman" w:hAnsi="Times New Roman"/>
          <w:sz w:val="24"/>
          <w:szCs w:val="24"/>
          <w:lang w:val="en-GB"/>
        </w:rPr>
        <w:t xml:space="preserve">gime.  </w:t>
      </w:r>
    </w:p>
    <w:p w14:paraId="7406DA74" w14:textId="77777777" w:rsidR="00152440" w:rsidRPr="00075A27" w:rsidRDefault="00152440" w:rsidP="00152440">
      <w:pPr>
        <w:jc w:val="both"/>
        <w:rPr>
          <w:rFonts w:ascii="Times New Roman" w:hAnsi="Times New Roman"/>
          <w:sz w:val="24"/>
          <w:szCs w:val="24"/>
          <w:lang w:val="en-GB"/>
        </w:rPr>
      </w:pPr>
      <w:r w:rsidRPr="00075A27">
        <w:rPr>
          <w:rFonts w:ascii="Times New Roman" w:hAnsi="Times New Roman"/>
          <w:sz w:val="24"/>
          <w:szCs w:val="24"/>
          <w:lang w:val="en-GB"/>
        </w:rPr>
        <w:t>We would support adding as of now the European SSFA to the current set of approaches in the CRR and treating it as higher in the regulatory hierarchy than the RBA. “Non-qualifying” securitisations would follow the normal hierarchy of approaches</w:t>
      </w:r>
      <w:r>
        <w:rPr>
          <w:rFonts w:ascii="Times New Roman" w:hAnsi="Times New Roman"/>
          <w:sz w:val="24"/>
          <w:szCs w:val="24"/>
          <w:lang w:val="en-GB"/>
        </w:rPr>
        <w:t xml:space="preserve">. </w:t>
      </w:r>
      <w:r w:rsidRPr="00075A27">
        <w:rPr>
          <w:rFonts w:ascii="Times New Roman" w:hAnsi="Times New Roman"/>
          <w:sz w:val="24"/>
          <w:szCs w:val="24"/>
          <w:lang w:val="en-GB"/>
        </w:rPr>
        <w:t xml:space="preserve"> </w:t>
      </w:r>
    </w:p>
    <w:p w14:paraId="45F7782B" w14:textId="77777777" w:rsidR="00152440" w:rsidRPr="00A72747" w:rsidRDefault="00152440" w:rsidP="00152440">
      <w:pPr>
        <w:jc w:val="both"/>
        <w:rPr>
          <w:rFonts w:ascii="Times New Roman" w:hAnsi="Times New Roman"/>
          <w:sz w:val="24"/>
          <w:szCs w:val="24"/>
          <w:lang w:val="en-GB"/>
        </w:rPr>
      </w:pPr>
      <w:r w:rsidRPr="00075A27">
        <w:rPr>
          <w:rFonts w:ascii="Times New Roman" w:hAnsi="Times New Roman"/>
          <w:sz w:val="24"/>
          <w:szCs w:val="24"/>
          <w:lang w:val="en-GB"/>
        </w:rPr>
        <w:t>The European SSFA could moreover be consistent with finalised versions of the SSFA emerging from the work of the Bas</w:t>
      </w:r>
      <w:r>
        <w:rPr>
          <w:rFonts w:ascii="Times New Roman" w:hAnsi="Times New Roman"/>
          <w:sz w:val="24"/>
          <w:szCs w:val="24"/>
          <w:lang w:val="en-GB"/>
        </w:rPr>
        <w:t>el</w:t>
      </w:r>
      <w:r w:rsidRPr="00075A27">
        <w:rPr>
          <w:rFonts w:ascii="Times New Roman" w:hAnsi="Times New Roman"/>
          <w:sz w:val="24"/>
          <w:szCs w:val="24"/>
          <w:lang w:val="en-GB"/>
        </w:rPr>
        <w:t xml:space="preserve"> Committee and these could then be applied to “non-qualifying” securitisations. </w:t>
      </w:r>
      <w:r w:rsidRPr="00A72747">
        <w:rPr>
          <w:rFonts w:ascii="Times New Roman" w:hAnsi="Times New Roman"/>
          <w:sz w:val="24"/>
          <w:szCs w:val="24"/>
          <w:lang w:val="en-GB"/>
        </w:rPr>
        <w:t xml:space="preserve"> </w:t>
      </w:r>
    </w:p>
    <w:p w14:paraId="41C9F658" w14:textId="77777777" w:rsidR="00152440" w:rsidRDefault="00152440" w:rsidP="00152440">
      <w:pPr>
        <w:jc w:val="both"/>
        <w:rPr>
          <w:rFonts w:ascii="Times New Roman" w:hAnsi="Times New Roman"/>
          <w:sz w:val="24"/>
          <w:szCs w:val="24"/>
          <w:lang w:val="en-GB"/>
        </w:rPr>
      </w:pPr>
      <w:r>
        <w:rPr>
          <w:rFonts w:ascii="Times New Roman" w:hAnsi="Times New Roman"/>
          <w:sz w:val="24"/>
          <w:szCs w:val="24"/>
          <w:lang w:val="en-GB"/>
        </w:rPr>
        <w:t xml:space="preserve">Doing so would definitely unlock the blocking elements of European securitisations whilst broadly complying, like in the US, with the international standards. </w:t>
      </w:r>
    </w:p>
    <w:p w14:paraId="5BD93180" w14:textId="1AB6EF96" w:rsidR="00A748EF" w:rsidRDefault="00A748EF" w:rsidP="00152440">
      <w:pPr>
        <w:jc w:val="both"/>
        <w:rPr>
          <w:rFonts w:ascii="Times New Roman" w:hAnsi="Times New Roman"/>
          <w:sz w:val="24"/>
          <w:szCs w:val="24"/>
          <w:lang w:val="en-US"/>
        </w:rPr>
      </w:pPr>
      <w:r>
        <w:rPr>
          <w:rFonts w:ascii="Times New Roman" w:hAnsi="Times New Roman"/>
          <w:sz w:val="24"/>
          <w:szCs w:val="24"/>
          <w:lang w:val="en-US"/>
        </w:rPr>
        <w:t>W</w:t>
      </w:r>
      <w:r w:rsidR="00E2432E">
        <w:rPr>
          <w:rFonts w:ascii="Times New Roman" w:hAnsi="Times New Roman"/>
          <w:sz w:val="24"/>
          <w:szCs w:val="24"/>
          <w:lang w:val="en-US"/>
        </w:rPr>
        <w:t xml:space="preserve">e wonder whether no further alignment with CQS1 covered bonds is </w:t>
      </w:r>
      <w:r w:rsidR="005514C1">
        <w:rPr>
          <w:rFonts w:ascii="Times New Roman" w:hAnsi="Times New Roman"/>
          <w:sz w:val="24"/>
          <w:szCs w:val="24"/>
          <w:lang w:val="en-US"/>
        </w:rPr>
        <w:t>foreseen</w:t>
      </w:r>
      <w:r w:rsidR="00E2432E">
        <w:rPr>
          <w:rFonts w:ascii="Times New Roman" w:hAnsi="Times New Roman"/>
          <w:sz w:val="24"/>
          <w:szCs w:val="24"/>
          <w:lang w:val="en-US"/>
        </w:rPr>
        <w:t xml:space="preserve"> implying a risk weight of 10% under the standardized approach and 8% under IRB. A 15% RW for the most senior tranches of qualifying securitisations is still too high: it contributes to non-neutrality and is not commensurate with the observations of almost zero defaults and losses If the RW remains too high, the differentiation between qualifying and non-qualifying securitisations will not help to revive the market because the currently proposed high RW is one the main impediments.</w:t>
      </w:r>
      <w:r>
        <w:rPr>
          <w:rFonts w:ascii="Times New Roman" w:hAnsi="Times New Roman"/>
          <w:sz w:val="24"/>
          <w:szCs w:val="24"/>
          <w:lang w:val="en-US"/>
        </w:rPr>
        <w:t xml:space="preserve"> </w:t>
      </w:r>
    </w:p>
    <w:p w14:paraId="16EAD96B" w14:textId="5AA7DE58" w:rsidR="00A748EF" w:rsidRPr="00A748EF" w:rsidRDefault="00A748EF" w:rsidP="00A748EF">
      <w:pPr>
        <w:jc w:val="both"/>
        <w:rPr>
          <w:rFonts w:ascii="Times New Roman" w:hAnsi="Times New Roman"/>
          <w:sz w:val="24"/>
          <w:szCs w:val="24"/>
          <w:lang w:val="en-US"/>
        </w:rPr>
      </w:pPr>
      <w:r w:rsidRPr="00A748EF">
        <w:rPr>
          <w:rFonts w:ascii="Times New Roman" w:hAnsi="Times New Roman"/>
          <w:sz w:val="24"/>
          <w:szCs w:val="24"/>
          <w:lang w:val="en-US"/>
        </w:rPr>
        <w:t>EBF members also believe that the simple, standard and transparent securitization should benefit from a less punishing Capital floor than proposed by Bas</w:t>
      </w:r>
      <w:r>
        <w:rPr>
          <w:rFonts w:ascii="Times New Roman" w:hAnsi="Times New Roman"/>
          <w:sz w:val="24"/>
          <w:szCs w:val="24"/>
          <w:lang w:val="en-US"/>
        </w:rPr>
        <w:t>el</w:t>
      </w:r>
      <w:r w:rsidRPr="00A748EF">
        <w:rPr>
          <w:rFonts w:ascii="Times New Roman" w:hAnsi="Times New Roman"/>
          <w:sz w:val="24"/>
          <w:szCs w:val="24"/>
          <w:lang w:val="en-US"/>
        </w:rPr>
        <w:t>.</w:t>
      </w:r>
    </w:p>
    <w:p w14:paraId="4AA3A08F" w14:textId="77777777" w:rsidR="00A748EF" w:rsidRPr="00A748EF" w:rsidRDefault="00A748EF" w:rsidP="00A748EF">
      <w:pPr>
        <w:jc w:val="both"/>
        <w:rPr>
          <w:rFonts w:ascii="Times New Roman" w:hAnsi="Times New Roman"/>
          <w:sz w:val="24"/>
          <w:szCs w:val="24"/>
          <w:lang w:val="en-US"/>
        </w:rPr>
      </w:pPr>
      <w:r w:rsidRPr="00A748EF">
        <w:rPr>
          <w:rFonts w:ascii="Times New Roman" w:hAnsi="Times New Roman"/>
          <w:sz w:val="24"/>
          <w:szCs w:val="24"/>
          <w:lang w:val="en-US"/>
        </w:rPr>
        <w:t xml:space="preserve">The recommended floor of 15% is too high for the good quality securitisation, especially the senior tranches: this would multiply current risk weight for senior tranches of high quality deals by a factor of at least 2, while EBA shows itself that all those deals performed very well during the crisis. </w:t>
      </w:r>
    </w:p>
    <w:p w14:paraId="1734B491" w14:textId="61337B03" w:rsidR="00E2432E" w:rsidRDefault="00A748EF" w:rsidP="00A748EF">
      <w:pPr>
        <w:jc w:val="both"/>
        <w:rPr>
          <w:rFonts w:ascii="Times New Roman" w:hAnsi="Times New Roman"/>
          <w:sz w:val="24"/>
          <w:szCs w:val="24"/>
          <w:lang w:val="en-US"/>
        </w:rPr>
      </w:pPr>
      <w:r w:rsidRPr="00A748EF">
        <w:rPr>
          <w:rFonts w:ascii="Times New Roman" w:hAnsi="Times New Roman"/>
          <w:sz w:val="24"/>
          <w:szCs w:val="24"/>
          <w:lang w:val="en-US"/>
        </w:rPr>
        <w:t>In addition, the risk weight for the pool as a whole in the case of good quality mortgage loans can be in the region of 10%: requiring a higher risk weight for senior tranches is not logical.</w:t>
      </w:r>
      <w:r w:rsidR="00E2432E">
        <w:rPr>
          <w:rFonts w:ascii="Times New Roman" w:hAnsi="Times New Roman"/>
          <w:sz w:val="24"/>
          <w:szCs w:val="24"/>
          <w:lang w:val="en-US"/>
        </w:rPr>
        <w:t xml:space="preserve"> </w:t>
      </w:r>
    </w:p>
    <w:p w14:paraId="58236701" w14:textId="3D223012" w:rsidR="00A748EF" w:rsidRDefault="00A748EF" w:rsidP="00A748EF">
      <w:pPr>
        <w:jc w:val="both"/>
        <w:rPr>
          <w:rFonts w:ascii="Times New Roman" w:hAnsi="Times New Roman"/>
          <w:sz w:val="24"/>
          <w:szCs w:val="24"/>
          <w:lang w:val="en-GB"/>
        </w:rPr>
      </w:pPr>
      <w:r w:rsidRPr="00A748EF">
        <w:rPr>
          <w:rFonts w:ascii="Times New Roman" w:hAnsi="Times New Roman"/>
          <w:sz w:val="24"/>
          <w:szCs w:val="24"/>
          <w:lang w:val="en-GB"/>
        </w:rPr>
        <w:t>The Risk weight floor should not exceed 5-10% for senior tranches of high quality securitisations.</w:t>
      </w:r>
      <w:r>
        <w:rPr>
          <w:rFonts w:ascii="Times New Roman" w:hAnsi="Times New Roman"/>
          <w:sz w:val="24"/>
          <w:szCs w:val="24"/>
          <w:lang w:val="en-GB"/>
        </w:rPr>
        <w:t xml:space="preserve"> </w:t>
      </w:r>
    </w:p>
    <w:p w14:paraId="7BFC56F2" w14:textId="77777777" w:rsidR="00152440" w:rsidRPr="00A72747" w:rsidRDefault="00152440" w:rsidP="00152440">
      <w:pPr>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52440" w:rsidRPr="00C75151" w14:paraId="1A33D014" w14:textId="77777777" w:rsidTr="00022249">
        <w:tc>
          <w:tcPr>
            <w:tcW w:w="9212" w:type="dxa"/>
          </w:tcPr>
          <w:p w14:paraId="1AA07EF9" w14:textId="77777777" w:rsidR="00152440" w:rsidRPr="00A45623" w:rsidRDefault="00152440" w:rsidP="00022249">
            <w:pPr>
              <w:spacing w:before="120"/>
              <w:jc w:val="both"/>
              <w:rPr>
                <w:rFonts w:ascii="Times New Roman" w:hAnsi="Times New Roman"/>
                <w:b/>
                <w:sz w:val="24"/>
                <w:szCs w:val="24"/>
                <w:lang w:val="en-GB"/>
              </w:rPr>
            </w:pPr>
            <w:r>
              <w:rPr>
                <w:rFonts w:ascii="Times New Roman" w:hAnsi="Times New Roman"/>
                <w:b/>
                <w:sz w:val="24"/>
                <w:szCs w:val="24"/>
                <w:lang w:val="en-GB"/>
              </w:rPr>
              <w:lastRenderedPageBreak/>
              <w:t xml:space="preserve">Question 11: </w:t>
            </w:r>
            <w:r w:rsidRPr="001A6081">
              <w:rPr>
                <w:rFonts w:ascii="Times New Roman" w:hAnsi="Times New Roman"/>
                <w:b/>
                <w:sz w:val="24"/>
                <w:szCs w:val="24"/>
                <w:lang w:val="en-GB"/>
              </w:rPr>
              <w:t>What is a reasonable calibration across tranches and credit quality steps for qualifying securitisations? Would reallocating across tranches the overall capital applicable to a given transaction by reducing the requirement for the more junior tranche and increasing it for the more senior tranches other than the most senior tranche be a feasible solution?</w:t>
            </w:r>
            <w:r w:rsidRPr="00A45623">
              <w:rPr>
                <w:rFonts w:ascii="Times New Roman" w:hAnsi="Times New Roman"/>
                <w:b/>
                <w:sz w:val="24"/>
                <w:szCs w:val="24"/>
                <w:lang w:val="en-GB"/>
              </w:rPr>
              <w:t xml:space="preserve"> </w:t>
            </w:r>
          </w:p>
        </w:tc>
      </w:tr>
    </w:tbl>
    <w:p w14:paraId="50C25CE4" w14:textId="77777777" w:rsidR="00152440" w:rsidRPr="00A72747" w:rsidRDefault="00152440" w:rsidP="00152440">
      <w:pPr>
        <w:jc w:val="both"/>
        <w:rPr>
          <w:rFonts w:ascii="Times New Roman" w:hAnsi="Times New Roman"/>
          <w:sz w:val="24"/>
          <w:szCs w:val="24"/>
          <w:lang w:val="en-GB"/>
        </w:rPr>
      </w:pPr>
    </w:p>
    <w:p w14:paraId="4B72778F" w14:textId="77777777" w:rsidR="00152440" w:rsidRDefault="00152440" w:rsidP="00152440">
      <w:pPr>
        <w:jc w:val="both"/>
        <w:rPr>
          <w:rFonts w:ascii="Times New Roman" w:hAnsi="Times New Roman"/>
          <w:sz w:val="24"/>
          <w:szCs w:val="24"/>
          <w:lang w:val="en-GB"/>
        </w:rPr>
      </w:pPr>
      <w:r w:rsidRPr="00C63357">
        <w:rPr>
          <w:rFonts w:ascii="Times New Roman" w:hAnsi="Times New Roman"/>
          <w:sz w:val="24"/>
          <w:szCs w:val="24"/>
          <w:lang w:val="en-GB"/>
        </w:rPr>
        <w:t>The envisaged calibration of the formula would be unique and tranche capital derived in a standardi</w:t>
      </w:r>
      <w:r>
        <w:rPr>
          <w:rFonts w:ascii="Times New Roman" w:hAnsi="Times New Roman"/>
          <w:sz w:val="24"/>
          <w:szCs w:val="24"/>
          <w:lang w:val="en-GB"/>
        </w:rPr>
        <w:t>s</w:t>
      </w:r>
      <w:r w:rsidRPr="00C63357">
        <w:rPr>
          <w:rFonts w:ascii="Times New Roman" w:hAnsi="Times New Roman"/>
          <w:sz w:val="24"/>
          <w:szCs w:val="24"/>
          <w:lang w:val="en-GB"/>
        </w:rPr>
        <w:t>ed manner within the SSFA context, depending on where the attachment and detachment points are with respect to the underlying pool capital requirement.</w:t>
      </w:r>
      <w:r>
        <w:rPr>
          <w:rFonts w:ascii="Times New Roman" w:hAnsi="Times New Roman"/>
          <w:sz w:val="24"/>
          <w:szCs w:val="24"/>
          <w:lang w:val="en-GB"/>
        </w:rPr>
        <w:t xml:space="preserve"> </w:t>
      </w:r>
    </w:p>
    <w:p w14:paraId="7F0EFF7A" w14:textId="16554F17" w:rsidR="00F25A76" w:rsidRPr="00C63357" w:rsidRDefault="00F25A76" w:rsidP="00152440">
      <w:pPr>
        <w:jc w:val="both"/>
        <w:rPr>
          <w:rFonts w:ascii="Times New Roman" w:hAnsi="Times New Roman"/>
          <w:sz w:val="24"/>
          <w:szCs w:val="24"/>
          <w:lang w:val="en-GB"/>
        </w:rPr>
      </w:pPr>
      <w:r w:rsidRPr="00F25A76">
        <w:rPr>
          <w:rFonts w:ascii="Times New Roman" w:hAnsi="Times New Roman"/>
          <w:sz w:val="24"/>
          <w:szCs w:val="24"/>
          <w:lang w:val="en-GB"/>
        </w:rPr>
        <w:t xml:space="preserve">The application of Simple, Standard and Transparent Securitisation should result in lower risk weights and lower floor for the securitisation which comply </w:t>
      </w:r>
      <w:r>
        <w:rPr>
          <w:rFonts w:ascii="Times New Roman" w:hAnsi="Times New Roman"/>
          <w:sz w:val="24"/>
          <w:szCs w:val="24"/>
          <w:lang w:val="en-GB"/>
        </w:rPr>
        <w:t>with</w:t>
      </w:r>
      <w:r w:rsidRPr="00F25A76">
        <w:rPr>
          <w:rFonts w:ascii="Times New Roman" w:hAnsi="Times New Roman"/>
          <w:sz w:val="24"/>
          <w:szCs w:val="24"/>
          <w:lang w:val="en-GB"/>
        </w:rPr>
        <w:t xml:space="preserve"> the set of criteria. It should not result in higher risk weights and higher floor from current proposals weights for the securitisation which are not deemed SST.</w:t>
      </w:r>
      <w:r>
        <w:rPr>
          <w:rFonts w:ascii="Times New Roman" w:hAnsi="Times New Roman"/>
          <w:sz w:val="24"/>
          <w:szCs w:val="24"/>
          <w:lang w:val="en-GB"/>
        </w:rPr>
        <w:t xml:space="preserve"> </w:t>
      </w:r>
    </w:p>
    <w:p w14:paraId="016195E6" w14:textId="77777777" w:rsidR="00152440" w:rsidRPr="00A72747" w:rsidRDefault="00152440" w:rsidP="00152440">
      <w:pPr>
        <w:jc w:val="both"/>
        <w:rPr>
          <w:rFonts w:ascii="Times New Roman" w:hAnsi="Times New Roman"/>
          <w:sz w:val="24"/>
          <w:szCs w:val="24"/>
          <w:lang w:val="en-GB"/>
        </w:rPr>
      </w:pPr>
      <w:r w:rsidRPr="00C63357">
        <w:rPr>
          <w:rFonts w:ascii="Times New Roman" w:hAnsi="Times New Roman"/>
          <w:sz w:val="24"/>
          <w:szCs w:val="24"/>
          <w:lang w:val="en-GB"/>
        </w:rPr>
        <w:t>Refe</w:t>
      </w:r>
      <w:r>
        <w:rPr>
          <w:rFonts w:ascii="Times New Roman" w:hAnsi="Times New Roman"/>
          <w:sz w:val="24"/>
          <w:szCs w:val="24"/>
          <w:lang w:val="en-GB"/>
        </w:rPr>
        <w:t>r also to answer to Question 10</w:t>
      </w:r>
      <w:r w:rsidRPr="00A72747">
        <w:rPr>
          <w:rFonts w:ascii="Times New Roman" w:hAnsi="Times New Roman"/>
          <w:sz w:val="24"/>
          <w:szCs w:val="24"/>
          <w:lang w:val="en-GB"/>
        </w:rPr>
        <w:t xml:space="preserve">. </w:t>
      </w:r>
    </w:p>
    <w:p w14:paraId="17C05014" w14:textId="77777777" w:rsidR="00152440" w:rsidRPr="00A72747" w:rsidRDefault="00152440" w:rsidP="00152440">
      <w:pPr>
        <w:rPr>
          <w:rFonts w:ascii="Times New Roman" w:hAnsi="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152440" w:rsidRPr="00C75151" w14:paraId="18C488C1" w14:textId="77777777" w:rsidTr="00022249">
        <w:tc>
          <w:tcPr>
            <w:tcW w:w="9212" w:type="dxa"/>
          </w:tcPr>
          <w:p w14:paraId="47CCD998" w14:textId="77777777" w:rsidR="00152440" w:rsidRPr="00A45623" w:rsidRDefault="00152440" w:rsidP="00022249">
            <w:pPr>
              <w:spacing w:before="120"/>
              <w:jc w:val="both"/>
              <w:rPr>
                <w:rFonts w:ascii="Times New Roman" w:hAnsi="Times New Roman"/>
                <w:b/>
                <w:sz w:val="24"/>
                <w:szCs w:val="24"/>
                <w:lang w:val="en-GB"/>
              </w:rPr>
            </w:pPr>
            <w:r>
              <w:rPr>
                <w:rFonts w:ascii="Times New Roman" w:hAnsi="Times New Roman"/>
                <w:b/>
                <w:sz w:val="24"/>
                <w:szCs w:val="24"/>
                <w:lang w:val="en-GB"/>
              </w:rPr>
              <w:t xml:space="preserve">Question 12: </w:t>
            </w:r>
            <w:r w:rsidRPr="001A6081">
              <w:rPr>
                <w:rFonts w:ascii="Times New Roman" w:hAnsi="Times New Roman"/>
                <w:b/>
                <w:sz w:val="24"/>
                <w:szCs w:val="24"/>
                <w:lang w:val="en-GB"/>
              </w:rPr>
              <w:t>Considering that rating ceilings affect securitisations from certain countries, how should the calibration of capital requirements on qualifying and non-qualifying securitisations be undertaken while also addressing this issue?</w:t>
            </w:r>
            <w:r w:rsidRPr="00A45623">
              <w:rPr>
                <w:rFonts w:ascii="Times New Roman" w:hAnsi="Times New Roman"/>
                <w:b/>
                <w:sz w:val="24"/>
                <w:szCs w:val="24"/>
                <w:lang w:val="en-GB"/>
              </w:rPr>
              <w:t xml:space="preserve"> </w:t>
            </w:r>
          </w:p>
        </w:tc>
      </w:tr>
    </w:tbl>
    <w:p w14:paraId="46BF1EE4" w14:textId="77777777" w:rsidR="00152440" w:rsidRPr="00A72747" w:rsidRDefault="00152440" w:rsidP="00152440">
      <w:pPr>
        <w:jc w:val="both"/>
        <w:rPr>
          <w:rFonts w:ascii="Times New Roman" w:hAnsi="Times New Roman"/>
          <w:sz w:val="24"/>
          <w:szCs w:val="24"/>
          <w:lang w:val="en-GB"/>
        </w:rPr>
      </w:pPr>
    </w:p>
    <w:p w14:paraId="088E3B37" w14:textId="77777777" w:rsidR="00904231" w:rsidRDefault="00F25A76" w:rsidP="00152440">
      <w:pPr>
        <w:jc w:val="both"/>
        <w:rPr>
          <w:rFonts w:ascii="Times New Roman" w:hAnsi="Times New Roman"/>
          <w:sz w:val="24"/>
          <w:szCs w:val="24"/>
          <w:lang w:val="en-GB"/>
        </w:rPr>
      </w:pPr>
      <w:r w:rsidRPr="00F25A76">
        <w:rPr>
          <w:rFonts w:ascii="Times New Roman" w:hAnsi="Times New Roman"/>
          <w:sz w:val="24"/>
          <w:szCs w:val="24"/>
          <w:lang w:val="en-GB"/>
        </w:rPr>
        <w:t>We agree that the securitisation market has unduly and excessively been impacted by the ratings given by agencies which have changed their methodologies and imposed country ceilings which are arbitrary instead of underlying detailed analysis of risk and recoveries.</w:t>
      </w:r>
      <w:r>
        <w:rPr>
          <w:rFonts w:ascii="Times New Roman" w:hAnsi="Times New Roman"/>
          <w:sz w:val="24"/>
          <w:szCs w:val="24"/>
          <w:lang w:val="en-GB"/>
        </w:rPr>
        <w:t xml:space="preserve"> </w:t>
      </w:r>
      <w:r w:rsidR="00152440" w:rsidRPr="00137B9A">
        <w:rPr>
          <w:rFonts w:ascii="Times New Roman" w:hAnsi="Times New Roman"/>
          <w:sz w:val="24"/>
          <w:szCs w:val="24"/>
          <w:lang w:val="en-GB"/>
        </w:rPr>
        <w:t xml:space="preserve">Absolute </w:t>
      </w:r>
      <w:r w:rsidR="00152440" w:rsidRPr="00137B9A">
        <w:rPr>
          <w:rFonts w:ascii="Times New Roman" w:hAnsi="Times New Roman"/>
          <w:i/>
          <w:sz w:val="24"/>
          <w:szCs w:val="24"/>
          <w:lang w:val="en-GB"/>
        </w:rPr>
        <w:t>a priori</w:t>
      </w:r>
      <w:r w:rsidR="00152440" w:rsidRPr="00137B9A">
        <w:rPr>
          <w:rFonts w:ascii="Times New Roman" w:hAnsi="Times New Roman"/>
          <w:sz w:val="24"/>
          <w:szCs w:val="24"/>
          <w:lang w:val="en-GB"/>
        </w:rPr>
        <w:t xml:space="preserve"> cap limits above the sovereign rating, from a pure methodological perspective, are questionable. Ratings must be based on fundamentals. The criteria of minimum sovereign ratings translates into an additional and unjustifiable disadvantage to European non-investment grade countries, already hurt by overly aggressive ratings which accelerated the European sovereign debt crisis.</w:t>
      </w:r>
      <w:r>
        <w:rPr>
          <w:rFonts w:ascii="Times New Roman" w:hAnsi="Times New Roman"/>
          <w:sz w:val="24"/>
          <w:szCs w:val="24"/>
          <w:lang w:val="en-GB"/>
        </w:rPr>
        <w:t xml:space="preserve"> </w:t>
      </w:r>
    </w:p>
    <w:p w14:paraId="2D10F54F" w14:textId="53827270" w:rsidR="00152440" w:rsidRPr="00137B9A" w:rsidRDefault="00F25A76" w:rsidP="00152440">
      <w:pPr>
        <w:jc w:val="both"/>
        <w:rPr>
          <w:rFonts w:ascii="Times New Roman" w:hAnsi="Times New Roman"/>
          <w:sz w:val="24"/>
          <w:szCs w:val="24"/>
          <w:lang w:val="en-GB"/>
        </w:rPr>
      </w:pPr>
      <w:r w:rsidRPr="00F25A76">
        <w:rPr>
          <w:rFonts w:ascii="Times New Roman" w:hAnsi="Times New Roman"/>
          <w:sz w:val="24"/>
          <w:szCs w:val="24"/>
          <w:lang w:val="en-GB"/>
        </w:rPr>
        <w:t>Rating ceilings impact the ratings of the tranches, especially the more senior tranches, i.e. only when using the external rating based approach to capital (ERBA). We believe if a particular asset class is impacted by the general economic environment which also triggers the sovereign rating downgrade, there should be a downgrade of the asset without using a cap. The rating agencies should publish the uncapped ratings. There should not be a difference between the securitised assets and the same asset class non-securitised.</w:t>
      </w:r>
      <w:r>
        <w:rPr>
          <w:rFonts w:ascii="Times New Roman" w:hAnsi="Times New Roman"/>
          <w:sz w:val="24"/>
          <w:szCs w:val="24"/>
          <w:lang w:val="en-GB"/>
        </w:rPr>
        <w:t xml:space="preserve"> </w:t>
      </w:r>
    </w:p>
    <w:p w14:paraId="7E9FA16D" w14:textId="77777777" w:rsidR="00152440" w:rsidRPr="00137B9A" w:rsidRDefault="00152440" w:rsidP="00152440">
      <w:pPr>
        <w:jc w:val="both"/>
        <w:rPr>
          <w:rFonts w:ascii="Times New Roman" w:hAnsi="Times New Roman"/>
          <w:sz w:val="24"/>
          <w:szCs w:val="24"/>
          <w:lang w:val="en-GB"/>
        </w:rPr>
      </w:pPr>
      <w:r w:rsidRPr="00137B9A">
        <w:rPr>
          <w:rFonts w:ascii="Times New Roman" w:hAnsi="Times New Roman"/>
          <w:sz w:val="24"/>
          <w:szCs w:val="24"/>
          <w:lang w:val="en-GB"/>
        </w:rPr>
        <w:t xml:space="preserve">Capital requirements should be the same for securitisation tranches with the same level of seniority, notwithstanding the rating of the individual tranches. </w:t>
      </w:r>
    </w:p>
    <w:p w14:paraId="4D00C89C" w14:textId="77777777" w:rsidR="00152440" w:rsidRPr="00137B9A" w:rsidRDefault="00152440" w:rsidP="00152440">
      <w:pPr>
        <w:jc w:val="both"/>
        <w:rPr>
          <w:rFonts w:ascii="Times New Roman" w:hAnsi="Times New Roman"/>
          <w:sz w:val="24"/>
          <w:szCs w:val="24"/>
          <w:lang w:val="en-GB"/>
        </w:rPr>
      </w:pPr>
      <w:r w:rsidRPr="00137B9A">
        <w:rPr>
          <w:rFonts w:ascii="Times New Roman" w:hAnsi="Times New Roman"/>
          <w:sz w:val="24"/>
          <w:szCs w:val="24"/>
          <w:lang w:val="en-GB"/>
        </w:rPr>
        <w:t>Currently, the country risk is already implied in the rating and, accordingly, in the spread demanded by investors of each tranche and should not lead to additional discrimination as implied by the use of different capital requirements.</w:t>
      </w:r>
    </w:p>
    <w:p w14:paraId="321CE5CF" w14:textId="77777777" w:rsidR="00152440" w:rsidRPr="00137B9A" w:rsidRDefault="00152440" w:rsidP="00152440">
      <w:pPr>
        <w:jc w:val="both"/>
        <w:rPr>
          <w:rFonts w:ascii="Times New Roman" w:hAnsi="Times New Roman"/>
          <w:sz w:val="24"/>
          <w:szCs w:val="24"/>
          <w:lang w:val="en-GB"/>
        </w:rPr>
      </w:pPr>
      <w:r w:rsidRPr="00137B9A">
        <w:rPr>
          <w:rFonts w:ascii="Times New Roman" w:hAnsi="Times New Roman"/>
          <w:sz w:val="24"/>
          <w:szCs w:val="24"/>
          <w:lang w:val="en-GB"/>
        </w:rPr>
        <w:lastRenderedPageBreak/>
        <w:t>Additionally, the level of seniority of each tranche is determined by the implied level of credit enhancement, which must be adjusted to the level of the risks of assets domiciled in a specific jurisdiction.</w:t>
      </w:r>
    </w:p>
    <w:p w14:paraId="19A90793" w14:textId="77777777" w:rsidR="00152440" w:rsidRDefault="00152440" w:rsidP="00152440">
      <w:pPr>
        <w:jc w:val="both"/>
        <w:rPr>
          <w:rFonts w:ascii="Times New Roman" w:hAnsi="Times New Roman"/>
          <w:sz w:val="24"/>
          <w:szCs w:val="24"/>
          <w:lang w:val="en-GB"/>
        </w:rPr>
      </w:pPr>
      <w:r>
        <w:rPr>
          <w:rFonts w:ascii="Times New Roman" w:hAnsi="Times New Roman"/>
          <w:sz w:val="24"/>
          <w:szCs w:val="24"/>
          <w:lang w:val="en-GB"/>
        </w:rPr>
        <w:t>C</w:t>
      </w:r>
      <w:r w:rsidRPr="00C63357">
        <w:rPr>
          <w:rFonts w:ascii="Times New Roman" w:hAnsi="Times New Roman"/>
          <w:sz w:val="24"/>
          <w:szCs w:val="24"/>
          <w:lang w:val="en-GB"/>
        </w:rPr>
        <w:t>onsidering the imposition of such ceilings has a significant dis</w:t>
      </w:r>
      <w:r>
        <w:rPr>
          <w:rFonts w:ascii="Times New Roman" w:hAnsi="Times New Roman"/>
          <w:sz w:val="24"/>
          <w:szCs w:val="24"/>
          <w:lang w:val="en-GB"/>
        </w:rPr>
        <w:t>t</w:t>
      </w:r>
      <w:r w:rsidRPr="00C63357">
        <w:rPr>
          <w:rFonts w:ascii="Times New Roman" w:hAnsi="Times New Roman"/>
          <w:sz w:val="24"/>
          <w:szCs w:val="24"/>
          <w:lang w:val="en-GB"/>
        </w:rPr>
        <w:t>orting effect in the capital charges determination and is a major contributing factor to the “non-neutrality” of the capital charges for securitisations, the adoption of the “European SSFA” would automatically tackle the issue, as its inputs would be only the capital requirement for the underlying portfolio and the attachment and detachment points of the tranches.</w:t>
      </w:r>
      <w:r>
        <w:rPr>
          <w:rFonts w:ascii="Times New Roman" w:hAnsi="Times New Roman"/>
          <w:sz w:val="24"/>
          <w:szCs w:val="24"/>
          <w:lang w:val="en-GB"/>
        </w:rPr>
        <w:t xml:space="preserve"> </w:t>
      </w:r>
    </w:p>
    <w:p w14:paraId="04944FEC" w14:textId="77777777" w:rsidR="00152440" w:rsidRDefault="00152440" w:rsidP="00152440">
      <w:pPr>
        <w:jc w:val="both"/>
        <w:rPr>
          <w:rFonts w:ascii="Times New Roman" w:hAnsi="Times New Roman"/>
          <w:sz w:val="24"/>
          <w:szCs w:val="24"/>
          <w:lang w:val="en-GB"/>
        </w:rPr>
      </w:pPr>
      <w:r>
        <w:rPr>
          <w:rFonts w:ascii="Times New Roman" w:hAnsi="Times New Roman"/>
          <w:sz w:val="24"/>
          <w:szCs w:val="24"/>
          <w:lang w:val="en-GB"/>
        </w:rPr>
        <w:t xml:space="preserve">In conclusion, we encourage the EBA to recommend the adoption of the European SSFA as an overarching and workable solution. </w:t>
      </w:r>
    </w:p>
    <w:p w14:paraId="4BC11499" w14:textId="5AF09E74" w:rsidR="008459F8" w:rsidRDefault="008459F8">
      <w:pPr>
        <w:rPr>
          <w:rFonts w:ascii="Akkurat Light Pro" w:hAnsi="Akkurat Light Pro"/>
          <w:lang w:val="en-GB"/>
        </w:rPr>
      </w:pPr>
      <w:r>
        <w:rPr>
          <w:rFonts w:ascii="Akkurat Light Pro" w:hAnsi="Akkurat Light Pro"/>
          <w:lang w:val="en-GB"/>
        </w:rPr>
        <w:br w:type="page"/>
      </w:r>
    </w:p>
    <w:p w14:paraId="5444A2C6" w14:textId="77777777" w:rsidR="008459F8" w:rsidRPr="008459F8" w:rsidRDefault="008459F8" w:rsidP="008474EF">
      <w:pPr>
        <w:jc w:val="center"/>
        <w:rPr>
          <w:rFonts w:ascii="Times New Roman" w:hAnsi="Times New Roman" w:cs="Times New Roman"/>
          <w:sz w:val="24"/>
          <w:szCs w:val="24"/>
          <w:lang w:val="en-GB"/>
        </w:rPr>
      </w:pPr>
      <w:r w:rsidRPr="008459F8">
        <w:rPr>
          <w:rFonts w:ascii="Times New Roman" w:hAnsi="Times New Roman" w:cs="Times New Roman"/>
          <w:sz w:val="24"/>
          <w:szCs w:val="24"/>
          <w:lang w:val="en-GB"/>
        </w:rPr>
        <w:lastRenderedPageBreak/>
        <w:t>Annex 1 ABCP</w:t>
      </w:r>
    </w:p>
    <w:p w14:paraId="68256935" w14:textId="77777777" w:rsidR="008459F8" w:rsidRPr="008474EF" w:rsidRDefault="008459F8" w:rsidP="008459F8">
      <w:pPr>
        <w:tabs>
          <w:tab w:val="left" w:pos="2175"/>
        </w:tabs>
        <w:spacing w:after="200" w:line="276" w:lineRule="auto"/>
        <w:ind w:left="360"/>
        <w:jc w:val="both"/>
        <w:rPr>
          <w:rFonts w:ascii="Times New Roman" w:hAnsi="Times New Roman" w:cs="Times New Roman"/>
          <w:b/>
          <w:iCs/>
          <w:sz w:val="24"/>
          <w:szCs w:val="24"/>
          <w:lang w:val="en-US"/>
        </w:rPr>
      </w:pPr>
      <w:r w:rsidRPr="008474EF">
        <w:rPr>
          <w:rFonts w:ascii="Times New Roman" w:hAnsi="Times New Roman" w:cs="Times New Roman"/>
          <w:b/>
          <w:iCs/>
          <w:sz w:val="24"/>
          <w:szCs w:val="24"/>
          <w:lang w:val="en-US"/>
        </w:rPr>
        <w:t>Asset-backed commercial paper (‘ABCP’) conduits</w:t>
      </w:r>
    </w:p>
    <w:p w14:paraId="7E4209F1" w14:textId="77777777" w:rsidR="008459F8" w:rsidRPr="008474EF" w:rsidRDefault="008459F8" w:rsidP="008459F8">
      <w:pPr>
        <w:autoSpaceDE w:val="0"/>
        <w:autoSpaceDN w:val="0"/>
        <w:adjustRightInd w:val="0"/>
        <w:jc w:val="both"/>
        <w:rPr>
          <w:rFonts w:ascii="Times New Roman" w:hAnsi="Times New Roman" w:cs="Times New Roman"/>
          <w:sz w:val="24"/>
          <w:szCs w:val="24"/>
          <w:lang w:val="en-US"/>
        </w:rPr>
      </w:pPr>
      <w:r w:rsidRPr="008474EF">
        <w:rPr>
          <w:rFonts w:ascii="Times New Roman" w:hAnsi="Times New Roman" w:cs="Times New Roman"/>
          <w:sz w:val="24"/>
          <w:szCs w:val="24"/>
          <w:lang w:val="en-US"/>
        </w:rPr>
        <w:t>Cash</w:t>
      </w:r>
      <w:r w:rsidRPr="008474EF">
        <w:rPr>
          <w:rFonts w:ascii="Times New Roman" w:hAnsi="Times New Roman" w:cs="Times New Roman"/>
          <w:sz w:val="24"/>
          <w:szCs w:val="24"/>
          <w:lang w:val="en-GB"/>
        </w:rPr>
        <w:t xml:space="preserve"> securitization</w:t>
      </w:r>
      <w:r w:rsidRPr="008474EF">
        <w:rPr>
          <w:rFonts w:ascii="Times New Roman" w:hAnsi="Times New Roman" w:cs="Times New Roman"/>
          <w:sz w:val="24"/>
          <w:szCs w:val="24"/>
          <w:lang w:val="en-US"/>
        </w:rPr>
        <w:t xml:space="preserve"> using ABCP conduits is a simple tool for banks to provide financing for a wide range of clients and assets. Using conservatively-sized credit enhancement, ABCP programs enable banks to extend low-risk secured financing to their clients, and clients to monetize their assets rather than depend solely on their credit status to raise financing. The</w:t>
      </w:r>
      <w:r w:rsidRPr="008474EF">
        <w:rPr>
          <w:rFonts w:ascii="Times New Roman" w:hAnsi="Times New Roman" w:cs="Times New Roman"/>
          <w:sz w:val="24"/>
          <w:szCs w:val="24"/>
          <w:lang w:val="en-GB"/>
        </w:rPr>
        <w:t xml:space="preserve"> tranching</w:t>
      </w:r>
      <w:r w:rsidRPr="008474EF">
        <w:rPr>
          <w:rFonts w:ascii="Times New Roman" w:hAnsi="Times New Roman" w:cs="Times New Roman"/>
          <w:sz w:val="24"/>
          <w:szCs w:val="24"/>
          <w:lang w:val="en-US"/>
        </w:rPr>
        <w:t xml:space="preserve"> technique used here by the</w:t>
      </w:r>
      <w:r w:rsidRPr="008474EF">
        <w:rPr>
          <w:rFonts w:ascii="Times New Roman" w:hAnsi="Times New Roman" w:cs="Times New Roman"/>
          <w:sz w:val="24"/>
          <w:szCs w:val="24"/>
          <w:lang w:val="en-GB"/>
        </w:rPr>
        <w:t xml:space="preserve"> securitization</w:t>
      </w:r>
      <w:r w:rsidRPr="008474EF">
        <w:rPr>
          <w:rFonts w:ascii="Times New Roman" w:hAnsi="Times New Roman" w:cs="Times New Roman"/>
          <w:sz w:val="24"/>
          <w:szCs w:val="24"/>
          <w:lang w:val="en-US"/>
        </w:rPr>
        <w:t xml:space="preserve"> process enables banks to leave most foreseeable credit risk with the originator of the assets and play their traditional role of transferring funding to the real economy. The quality of the credit enhancement is always dependent on a thorough analysis of the underlying assets.</w:t>
      </w:r>
    </w:p>
    <w:p w14:paraId="46844DC6" w14:textId="77777777" w:rsidR="008459F8" w:rsidRPr="008474EF" w:rsidRDefault="008459F8" w:rsidP="008459F8">
      <w:pPr>
        <w:autoSpaceDE w:val="0"/>
        <w:autoSpaceDN w:val="0"/>
        <w:adjustRightInd w:val="0"/>
        <w:jc w:val="both"/>
        <w:rPr>
          <w:rFonts w:ascii="Times New Roman" w:hAnsi="Times New Roman" w:cs="Times New Roman"/>
          <w:sz w:val="24"/>
          <w:szCs w:val="24"/>
          <w:lang w:val="en-US"/>
        </w:rPr>
      </w:pPr>
      <w:r w:rsidRPr="008474EF">
        <w:rPr>
          <w:rFonts w:ascii="Times New Roman" w:hAnsi="Times New Roman" w:cs="Times New Roman"/>
          <w:sz w:val="24"/>
          <w:szCs w:val="24"/>
          <w:lang w:val="en-US"/>
        </w:rPr>
        <w:t>Assets financed in ABCP conduits are of good quality, essentially trade and auto receivables.  Securitization structures highly mitigate risks on the portfolio and on the sellers. Current regulatory capital immobilized by these transactions already seems to exceed that warranted by their level of risk. That is why we would like to express our deep concerns about the impact that the new securitization framework proposed by the Committee would have on these transactions.</w:t>
      </w:r>
      <w:bookmarkStart w:id="2" w:name="_DV_M170"/>
      <w:bookmarkStart w:id="3" w:name="_DV_M172"/>
      <w:bookmarkStart w:id="4" w:name="_DV_M173"/>
      <w:bookmarkEnd w:id="2"/>
      <w:bookmarkEnd w:id="3"/>
      <w:bookmarkEnd w:id="4"/>
    </w:p>
    <w:p w14:paraId="5CA87C12" w14:textId="77777777" w:rsidR="008459F8" w:rsidRPr="008474EF" w:rsidRDefault="008459F8" w:rsidP="008459F8">
      <w:pPr>
        <w:pStyle w:val="Heading1"/>
        <w:keepLines w:val="0"/>
        <w:autoSpaceDE w:val="0"/>
        <w:autoSpaceDN w:val="0"/>
        <w:adjustRightInd w:val="0"/>
        <w:spacing w:after="60" w:line="240" w:lineRule="auto"/>
        <w:ind w:left="360"/>
        <w:jc w:val="both"/>
        <w:rPr>
          <w:rFonts w:ascii="Times New Roman" w:hAnsi="Times New Roman" w:cs="Times New Roman"/>
          <w:b/>
          <w:color w:val="auto"/>
          <w:sz w:val="24"/>
          <w:szCs w:val="24"/>
          <w:lang w:val="en-US"/>
        </w:rPr>
      </w:pPr>
      <w:bookmarkStart w:id="5" w:name="_Toc382395152"/>
      <w:r w:rsidRPr="008474EF">
        <w:rPr>
          <w:rFonts w:ascii="Times New Roman" w:hAnsi="Times New Roman" w:cs="Times New Roman"/>
          <w:b/>
          <w:color w:val="auto"/>
          <w:sz w:val="24"/>
          <w:szCs w:val="24"/>
          <w:lang w:val="en-US"/>
        </w:rPr>
        <w:t>ABCP conduits assets are “high quality assets”</w:t>
      </w:r>
      <w:bookmarkEnd w:id="5"/>
    </w:p>
    <w:p w14:paraId="46ACA1E5" w14:textId="77777777" w:rsidR="008459F8" w:rsidRPr="008474EF" w:rsidRDefault="008459F8" w:rsidP="008459F8">
      <w:pPr>
        <w:autoSpaceDE w:val="0"/>
        <w:autoSpaceDN w:val="0"/>
        <w:adjustRightInd w:val="0"/>
        <w:jc w:val="both"/>
        <w:rPr>
          <w:rFonts w:ascii="Times New Roman" w:hAnsi="Times New Roman" w:cs="Times New Roman"/>
          <w:sz w:val="24"/>
          <w:szCs w:val="24"/>
          <w:lang w:val="en-US"/>
        </w:rPr>
      </w:pPr>
      <w:r w:rsidRPr="008474EF">
        <w:rPr>
          <w:rFonts w:ascii="Times New Roman" w:hAnsi="Times New Roman" w:cs="Times New Roman"/>
          <w:sz w:val="24"/>
          <w:szCs w:val="24"/>
          <w:lang w:val="en-US"/>
        </w:rPr>
        <w:t>The assets funded in ABCP conduits are simple assets of good quality and short term pretty much like those we can find in factoring activity. The main part of the underlying assets, funded in multi seller ABCP conduit in EMEA, is trade and auto receivables (70%</w:t>
      </w:r>
      <w:r w:rsidRPr="008474EF">
        <w:rPr>
          <w:rStyle w:val="FootnoteReference"/>
          <w:rFonts w:ascii="Times New Roman" w:hAnsi="Times New Roman"/>
          <w:sz w:val="24"/>
          <w:szCs w:val="24"/>
        </w:rPr>
        <w:footnoteReference w:id="11"/>
      </w:r>
      <w:r w:rsidRPr="008474EF">
        <w:rPr>
          <w:rFonts w:ascii="Times New Roman" w:hAnsi="Times New Roman" w:cs="Times New Roman"/>
          <w:sz w:val="24"/>
          <w:szCs w:val="24"/>
          <w:lang w:val="en-US"/>
        </w:rPr>
        <w:t xml:space="preserve">). These assets are not very risky, but in order to be sure the bank which provides the funding does not take risk with the liquidity facility, the credit enhancement is calibrated in a very conservative way following rating agencies criteria. </w:t>
      </w:r>
    </w:p>
    <w:p w14:paraId="67CBA27C" w14:textId="77777777" w:rsidR="008459F8" w:rsidRPr="008474EF" w:rsidRDefault="008459F8" w:rsidP="008459F8">
      <w:pPr>
        <w:autoSpaceDE w:val="0"/>
        <w:autoSpaceDN w:val="0"/>
        <w:adjustRightInd w:val="0"/>
        <w:jc w:val="both"/>
        <w:rPr>
          <w:rFonts w:ascii="Times New Roman" w:hAnsi="Times New Roman" w:cs="Times New Roman"/>
          <w:sz w:val="24"/>
          <w:szCs w:val="24"/>
          <w:lang w:val="en-US"/>
        </w:rPr>
      </w:pPr>
      <w:r w:rsidRPr="008474EF">
        <w:rPr>
          <w:rFonts w:ascii="Times New Roman" w:hAnsi="Times New Roman" w:cs="Times New Roman"/>
          <w:sz w:val="24"/>
          <w:szCs w:val="24"/>
          <w:lang w:val="en-US"/>
        </w:rPr>
        <w:t>Because no public data are available on trade receivables, some statistics collected on French banks’ European ABCP conduits have been added in appendix to highlight the quality of this type of asset.  The performance data of trade receivables securitizations financed by French banks’ multi-seller conduits demonstrate the quality and resilience of credit enhancement provided to these conduits. No losses have ever been registered by French banks in relation to trade receivables securitization transactions financed through their ABCP conduits.</w:t>
      </w:r>
    </w:p>
    <w:p w14:paraId="0A255627" w14:textId="77777777" w:rsidR="008459F8" w:rsidRPr="008474EF" w:rsidRDefault="008459F8" w:rsidP="008459F8">
      <w:pPr>
        <w:jc w:val="both"/>
        <w:rPr>
          <w:rFonts w:ascii="Times New Roman" w:hAnsi="Times New Roman" w:cs="Times New Roman"/>
          <w:sz w:val="24"/>
          <w:szCs w:val="24"/>
          <w:lang w:val="en-US"/>
        </w:rPr>
      </w:pPr>
      <w:r w:rsidRPr="008474EF">
        <w:rPr>
          <w:rFonts w:ascii="Times New Roman" w:hAnsi="Times New Roman" w:cs="Times New Roman"/>
          <w:sz w:val="24"/>
          <w:szCs w:val="24"/>
          <w:lang w:val="en-US"/>
        </w:rPr>
        <w:t>A securitization of trade receivables provided a stable funding to the corporate. It’s a strong secured funding for banks and, sometimes, the only way for banks to provide also to low credit quality corporate: risks on the assigned receivables is covered by a credit enhancement which highly cover the historical losses and any risk on the sellers are strongly mitigated by several mechanism. That’s why final risk taken by banks is very limited and methodology to size the RWA consumption in front of such type of transaction shall take in consideration all protections of which the Banks benefit.</w:t>
      </w:r>
    </w:p>
    <w:p w14:paraId="5566C73F" w14:textId="77777777" w:rsidR="008459F8" w:rsidRPr="008474EF" w:rsidRDefault="008459F8" w:rsidP="008459F8">
      <w:pPr>
        <w:pStyle w:val="NoSpacing"/>
        <w:jc w:val="both"/>
        <w:rPr>
          <w:rFonts w:ascii="Times New Roman" w:eastAsiaTheme="minorHAnsi" w:hAnsi="Times New Roman"/>
          <w:szCs w:val="24"/>
        </w:rPr>
      </w:pPr>
    </w:p>
    <w:p w14:paraId="62F694C0" w14:textId="77777777" w:rsidR="008459F8" w:rsidRPr="008474EF" w:rsidRDefault="008459F8" w:rsidP="008459F8">
      <w:pPr>
        <w:pStyle w:val="NoSpacing"/>
        <w:jc w:val="both"/>
        <w:rPr>
          <w:rFonts w:ascii="Times New Roman" w:eastAsiaTheme="minorHAnsi" w:hAnsi="Times New Roman"/>
          <w:szCs w:val="24"/>
        </w:rPr>
      </w:pPr>
      <w:r w:rsidRPr="008474EF">
        <w:rPr>
          <w:rFonts w:ascii="Times New Roman" w:eastAsiaTheme="minorHAnsi" w:hAnsi="Times New Roman"/>
          <w:szCs w:val="24"/>
        </w:rPr>
        <w:lastRenderedPageBreak/>
        <w:t xml:space="preserve">ABCP have proven to be a very efficient tool to finance short term client assets such as trade receivables. It provides access to various markets that clients could not necessarily reach by themselves. Through a very strong structuring which limit or reduce to zero any risk on the corporate who receives the funding, including dynamic credit enhancement, the credit risk is remote. The investors show a real appetite even in difficult periods, as they value the strength of the structuring and the diversification. The strength of the structuring and the very remote credit risk is recognized today as capital charge is low, enabling the clients to benefit from a very competitive price. </w:t>
      </w:r>
    </w:p>
    <w:p w14:paraId="28B573ED" w14:textId="77777777" w:rsidR="008459F8" w:rsidRPr="008474EF" w:rsidRDefault="008459F8" w:rsidP="008459F8">
      <w:pPr>
        <w:pStyle w:val="NoSpacing"/>
        <w:jc w:val="both"/>
        <w:rPr>
          <w:rFonts w:ascii="Times New Roman" w:eastAsiaTheme="minorHAnsi" w:hAnsi="Times New Roman"/>
          <w:szCs w:val="24"/>
        </w:rPr>
      </w:pPr>
      <w:r w:rsidRPr="008474EF">
        <w:rPr>
          <w:rFonts w:ascii="Times New Roman" w:eastAsiaTheme="minorHAnsi" w:hAnsi="Times New Roman"/>
          <w:szCs w:val="24"/>
        </w:rPr>
        <w:t xml:space="preserve">Failing to recognize this low risk in corresponding very low capital charge will have a direct consequence: more capital will immediately increase the price for the clients. In some cases, capital applied to ABCP conduits transactions could be higher than if bank were lending on an unsecured basis to the corporate (see example below). In those circumstances, it is obvious that a structure transaction would no longer make sense, and the client would borrow unsecured, increasing the final risk for the banks sector. </w:t>
      </w:r>
    </w:p>
    <w:p w14:paraId="542D0D55" w14:textId="77777777" w:rsidR="008459F8" w:rsidRPr="008474EF" w:rsidRDefault="008459F8" w:rsidP="008459F8">
      <w:pPr>
        <w:pStyle w:val="NoSpacing"/>
        <w:jc w:val="both"/>
        <w:rPr>
          <w:rFonts w:ascii="Times New Roman" w:eastAsiaTheme="minorHAnsi" w:hAnsi="Times New Roman"/>
          <w:szCs w:val="24"/>
        </w:rPr>
      </w:pPr>
    </w:p>
    <w:p w14:paraId="5F656598" w14:textId="77777777" w:rsidR="008459F8" w:rsidRPr="008474EF" w:rsidRDefault="008459F8" w:rsidP="008459F8">
      <w:pPr>
        <w:pStyle w:val="ListParagraph"/>
        <w:ind w:left="0"/>
        <w:jc w:val="both"/>
        <w:rPr>
          <w:rFonts w:ascii="Times New Roman" w:hAnsi="Times New Roman" w:cs="Times New Roman"/>
          <w:sz w:val="24"/>
          <w:szCs w:val="24"/>
          <w:lang w:val="en-US"/>
        </w:rPr>
      </w:pPr>
      <w:r w:rsidRPr="008474EF">
        <w:rPr>
          <w:rFonts w:ascii="Times New Roman" w:hAnsi="Times New Roman" w:cs="Times New Roman"/>
          <w:sz w:val="24"/>
          <w:szCs w:val="24"/>
          <w:lang w:val="en-US"/>
        </w:rPr>
        <w:t>A clear distinction should be made between (i) SIV / Arbitrage conduits and (ii) multi-seller ABCP conduits. SIV structured before the crisis did not benefit from liquidity facilities covering 100% of the paper issued. This was based on the assumption that underlying ABS were liquid enough in case of stress situations. The 2007-2008 crisis has proven it was not sustainable and SIV have disappeared from the market since.</w:t>
      </w:r>
    </w:p>
    <w:p w14:paraId="4FF771C0" w14:textId="1653D880" w:rsidR="008459F8" w:rsidRPr="008474EF" w:rsidRDefault="008459F8" w:rsidP="008459F8">
      <w:pPr>
        <w:pStyle w:val="ListParagraph"/>
        <w:ind w:left="0"/>
        <w:jc w:val="both"/>
        <w:rPr>
          <w:rFonts w:ascii="Times New Roman" w:hAnsi="Times New Roman" w:cs="Times New Roman"/>
          <w:sz w:val="24"/>
          <w:szCs w:val="24"/>
          <w:lang w:val="en-US"/>
        </w:rPr>
      </w:pPr>
      <w:r w:rsidRPr="008474EF">
        <w:rPr>
          <w:rFonts w:ascii="Times New Roman" w:hAnsi="Times New Roman" w:cs="Times New Roman"/>
          <w:sz w:val="24"/>
          <w:szCs w:val="24"/>
          <w:lang w:val="en-US"/>
        </w:rPr>
        <w:t>On the contrary multi-seller ABCP conduit covered at least by a 100% liquidity facility did not have commercial paper investors suffer losses due to liquidity crisis. A 100% liquidity facility provided by a bank to the ABCP conduit ensures a reimbursement of commercial papers in full. Moreover due to new regulations (CRD 4 / CRR) the regulator make compulsory for the bank to raise some cash to put in reserve, to cover part of these liquidity facilities (i.e LCR / NSFR ratios). In this regard, it should be noted that ECB legal opinion released on 21 May 2014  on the EC proposal recognizing that “MMFs play an important role as one of the main investors in the market for short-term securitised assets, such as Asset Backed Commercial Papers” encouraged to assess “the contemplated restrictions to investment in ABCPs against their impact on the functioning and depth of the securitisation markets”</w:t>
      </w:r>
      <w:r w:rsidRPr="008474EF">
        <w:rPr>
          <w:rFonts w:ascii="Times New Roman" w:hAnsi="Times New Roman" w:cs="Times New Roman"/>
          <w:sz w:val="24"/>
          <w:szCs w:val="24"/>
          <w:lang w:val="en-US"/>
        </w:rPr>
        <w:footnoteReference w:id="12"/>
      </w:r>
      <w:r w:rsidRPr="008474EF">
        <w:rPr>
          <w:rFonts w:ascii="Times New Roman" w:hAnsi="Times New Roman" w:cs="Times New Roman"/>
          <w:sz w:val="24"/>
          <w:szCs w:val="24"/>
          <w:lang w:val="en-US"/>
        </w:rPr>
        <w:t xml:space="preserve">. </w:t>
      </w:r>
    </w:p>
    <w:p w14:paraId="62D3C46A" w14:textId="77777777" w:rsidR="008459F8" w:rsidRPr="008474EF" w:rsidRDefault="008459F8" w:rsidP="008459F8">
      <w:pPr>
        <w:pStyle w:val="ListParagraph"/>
        <w:ind w:left="0"/>
        <w:jc w:val="both"/>
        <w:rPr>
          <w:rFonts w:ascii="Times New Roman" w:hAnsi="Times New Roman" w:cs="Times New Roman"/>
          <w:sz w:val="24"/>
          <w:szCs w:val="24"/>
          <w:lang w:val="en-US"/>
        </w:rPr>
      </w:pPr>
    </w:p>
    <w:p w14:paraId="71230566" w14:textId="77777777" w:rsidR="008459F8" w:rsidRPr="008474EF" w:rsidRDefault="008459F8" w:rsidP="008459F8">
      <w:pPr>
        <w:pStyle w:val="ListParagraph"/>
        <w:ind w:left="0"/>
        <w:jc w:val="both"/>
        <w:rPr>
          <w:rFonts w:ascii="Times New Roman" w:hAnsi="Times New Roman" w:cs="Times New Roman"/>
          <w:sz w:val="24"/>
          <w:szCs w:val="24"/>
          <w:lang w:val="en-US"/>
        </w:rPr>
      </w:pPr>
      <w:r w:rsidRPr="008474EF">
        <w:rPr>
          <w:rFonts w:ascii="Times New Roman" w:hAnsi="Times New Roman" w:cs="Times New Roman"/>
          <w:sz w:val="24"/>
          <w:szCs w:val="24"/>
          <w:lang w:val="en-US"/>
        </w:rPr>
        <w:t xml:space="preserve">As a result, the main criteria for simple, standard and transparent ABCP, at the ABCP level, should be: (a) full support, full coverage (of at least 100% of Commercial Papers issued) by liquidity line ; (b) maturity of Commercial Paper no longer  than 397 days ; and (c) underlying assets are SST. </w:t>
      </w:r>
    </w:p>
    <w:p w14:paraId="5BFBA3ED" w14:textId="77777777" w:rsidR="008D70EE" w:rsidRPr="008474EF" w:rsidRDefault="008D70EE" w:rsidP="0009302E">
      <w:pPr>
        <w:jc w:val="both"/>
        <w:rPr>
          <w:rFonts w:ascii="Times New Roman" w:hAnsi="Times New Roman" w:cs="Times New Roman"/>
          <w:sz w:val="24"/>
          <w:szCs w:val="24"/>
          <w:lang w:val="en-GB"/>
        </w:rPr>
      </w:pPr>
    </w:p>
    <w:sectPr w:rsidR="008D70EE" w:rsidRPr="008474E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1149C" w14:textId="77777777" w:rsidR="00EC197F" w:rsidRDefault="00EC197F" w:rsidP="00F77EAA">
      <w:pPr>
        <w:spacing w:after="0" w:line="240" w:lineRule="auto"/>
      </w:pPr>
      <w:r>
        <w:separator/>
      </w:r>
    </w:p>
  </w:endnote>
  <w:endnote w:type="continuationSeparator" w:id="0">
    <w:p w14:paraId="4BC1149D" w14:textId="77777777" w:rsidR="00EC197F" w:rsidRDefault="00EC197F" w:rsidP="00F7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kkurat Light Pro">
    <w:altName w:val="Microsoft YaHei"/>
    <w:panose1 w:val="00000000000000000000"/>
    <w:charset w:val="00"/>
    <w:family w:val="modern"/>
    <w:notTrueType/>
    <w:pitch w:val="variable"/>
    <w:sig w:usb0="00000001" w:usb1="5000206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366687"/>
      <w:docPartObj>
        <w:docPartGallery w:val="Page Numbers (Bottom of Page)"/>
        <w:docPartUnique/>
      </w:docPartObj>
    </w:sdtPr>
    <w:sdtEndPr>
      <w:rPr>
        <w:noProof/>
      </w:rPr>
    </w:sdtEndPr>
    <w:sdtContent>
      <w:p w14:paraId="7C7D1EC3" w14:textId="3D9C9667" w:rsidR="00860D63" w:rsidRDefault="00860D63">
        <w:pPr>
          <w:pStyle w:val="Footer"/>
          <w:jc w:val="right"/>
        </w:pPr>
        <w:r>
          <w:fldChar w:fldCharType="begin"/>
        </w:r>
        <w:r>
          <w:instrText xml:space="preserve"> PAGE   \* MERGEFORMAT </w:instrText>
        </w:r>
        <w:r>
          <w:fldChar w:fldCharType="separate"/>
        </w:r>
        <w:r w:rsidR="00C75151">
          <w:rPr>
            <w:noProof/>
          </w:rPr>
          <w:t>1</w:t>
        </w:r>
        <w:r>
          <w:rPr>
            <w:noProof/>
          </w:rPr>
          <w:fldChar w:fldCharType="end"/>
        </w:r>
      </w:p>
    </w:sdtContent>
  </w:sdt>
  <w:p w14:paraId="4BC1149F" w14:textId="6E6128DE" w:rsidR="00F77EAA" w:rsidRPr="00F77EAA" w:rsidRDefault="00F77EAA" w:rsidP="00F77E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1149A" w14:textId="77777777" w:rsidR="00EC197F" w:rsidRDefault="00EC197F" w:rsidP="00F77EAA">
      <w:pPr>
        <w:spacing w:after="0" w:line="240" w:lineRule="auto"/>
      </w:pPr>
      <w:r>
        <w:separator/>
      </w:r>
    </w:p>
  </w:footnote>
  <w:footnote w:type="continuationSeparator" w:id="0">
    <w:p w14:paraId="4BC1149B" w14:textId="77777777" w:rsidR="00EC197F" w:rsidRDefault="00EC197F" w:rsidP="00F77EAA">
      <w:pPr>
        <w:spacing w:after="0" w:line="240" w:lineRule="auto"/>
      </w:pPr>
      <w:r>
        <w:continuationSeparator/>
      </w:r>
    </w:p>
  </w:footnote>
  <w:footnote w:id="1">
    <w:p w14:paraId="4C526181" w14:textId="77777777" w:rsidR="00152440" w:rsidRPr="00DE1932" w:rsidRDefault="00152440" w:rsidP="00152440">
      <w:pPr>
        <w:pStyle w:val="FootnoteText"/>
        <w:jc w:val="both"/>
        <w:rPr>
          <w:lang w:val="en-GB"/>
        </w:rPr>
      </w:pPr>
      <w:r>
        <w:rPr>
          <w:rStyle w:val="FootnoteReference"/>
        </w:rPr>
        <w:footnoteRef/>
      </w:r>
      <w:r w:rsidRPr="001C4889">
        <w:rPr>
          <w:lang w:val="en-GB"/>
        </w:rPr>
        <w:t xml:space="preserve"> </w:t>
      </w:r>
      <w:r>
        <w:rPr>
          <w:lang w:val="en-GB"/>
        </w:rPr>
        <w:t xml:space="preserve">Commission’s call for advice of December 2013 </w:t>
      </w:r>
      <w:r w:rsidRPr="001C4889">
        <w:rPr>
          <w:lang w:val="en-GB"/>
        </w:rPr>
        <w:t>related to the merits of, and the potential ways of, promoting a safe and stable securitisation market</w:t>
      </w:r>
      <w:r>
        <w:rPr>
          <w:lang w:val="en-GB"/>
        </w:rPr>
        <w:t xml:space="preserve">. </w:t>
      </w:r>
    </w:p>
  </w:footnote>
  <w:footnote w:id="2">
    <w:p w14:paraId="0F737F1D" w14:textId="77777777" w:rsidR="00152440" w:rsidRPr="00DE1932" w:rsidRDefault="00152440" w:rsidP="00152440">
      <w:pPr>
        <w:pStyle w:val="FootnoteText"/>
        <w:jc w:val="both"/>
        <w:rPr>
          <w:lang w:val="en-GB"/>
        </w:rPr>
      </w:pPr>
      <w:r>
        <w:rPr>
          <w:rStyle w:val="FootnoteReference"/>
        </w:rPr>
        <w:footnoteRef/>
      </w:r>
      <w:r w:rsidRPr="0065712E">
        <w:rPr>
          <w:lang w:val="en-GB"/>
        </w:rPr>
        <w:t xml:space="preserve"> </w:t>
      </w:r>
      <w:r>
        <w:rPr>
          <w:lang w:val="en-GB"/>
        </w:rPr>
        <w:t>Notably the D</w:t>
      </w:r>
      <w:r w:rsidRPr="0065712E">
        <w:rPr>
          <w:lang w:val="en-GB"/>
        </w:rPr>
        <w:t xml:space="preserve">iscussion </w:t>
      </w:r>
      <w:r>
        <w:rPr>
          <w:lang w:val="en-GB"/>
        </w:rPr>
        <w:t>P</w:t>
      </w:r>
      <w:r w:rsidRPr="0065712E">
        <w:rPr>
          <w:lang w:val="en-GB"/>
        </w:rPr>
        <w:t xml:space="preserve">aper of the Bank of England </w:t>
      </w:r>
      <w:r>
        <w:rPr>
          <w:lang w:val="en-GB"/>
        </w:rPr>
        <w:t xml:space="preserve">(BoE) </w:t>
      </w:r>
      <w:r w:rsidRPr="0065712E">
        <w:rPr>
          <w:lang w:val="en-GB"/>
        </w:rPr>
        <w:t>and the European Central Bank</w:t>
      </w:r>
      <w:r>
        <w:rPr>
          <w:lang w:val="en-GB"/>
        </w:rPr>
        <w:t xml:space="preserve"> (ECB)</w:t>
      </w:r>
      <w:r w:rsidRPr="0065712E">
        <w:rPr>
          <w:lang w:val="en-GB"/>
        </w:rPr>
        <w:t xml:space="preserve"> on the case for a better functioning securitisation market in the European Union</w:t>
      </w:r>
      <w:r>
        <w:rPr>
          <w:lang w:val="en-GB"/>
        </w:rPr>
        <w:t xml:space="preserve">. </w:t>
      </w:r>
    </w:p>
  </w:footnote>
  <w:footnote w:id="3">
    <w:p w14:paraId="5CE02891" w14:textId="77777777" w:rsidR="00152440" w:rsidRPr="00DE1932" w:rsidRDefault="00152440" w:rsidP="00B34549">
      <w:pPr>
        <w:pStyle w:val="FootnoteText"/>
        <w:jc w:val="both"/>
        <w:rPr>
          <w:lang w:val="en-GB"/>
        </w:rPr>
      </w:pPr>
      <w:r>
        <w:rPr>
          <w:rStyle w:val="FootnoteReference"/>
        </w:rPr>
        <w:footnoteRef/>
      </w:r>
      <w:r w:rsidRPr="005F1B3F">
        <w:rPr>
          <w:lang w:val="en-GB"/>
        </w:rPr>
        <w:t xml:space="preserve"> </w:t>
      </w:r>
      <w:hyperlink r:id="rId1" w:history="1">
        <w:r w:rsidRPr="005F1B3F">
          <w:rPr>
            <w:rStyle w:val="Hyperlink"/>
            <w:lang w:val="en-GB"/>
          </w:rPr>
          <w:t>EBF response to the BCBS second consultation on revisions to the Basel Securitisation Framework</w:t>
        </w:r>
      </w:hyperlink>
      <w:r>
        <w:rPr>
          <w:lang w:val="en-GB"/>
        </w:rPr>
        <w:t xml:space="preserve"> (March 2014). </w:t>
      </w:r>
    </w:p>
  </w:footnote>
  <w:footnote w:id="4">
    <w:p w14:paraId="1E8122E3" w14:textId="77777777" w:rsidR="00152440" w:rsidRPr="00DE1932" w:rsidRDefault="00C75151" w:rsidP="00860D63">
      <w:pPr>
        <w:pStyle w:val="FootnoteText"/>
        <w:jc w:val="both"/>
        <w:rPr>
          <w:lang w:val="en-GB"/>
        </w:rPr>
      </w:pPr>
      <w:hyperlink r:id="rId2" w:history="1">
        <w:r w:rsidR="00152440" w:rsidRPr="005F1B3F">
          <w:rPr>
            <w:rStyle w:val="Hyperlink"/>
            <w:vertAlign w:val="superscript"/>
          </w:rPr>
          <w:footnoteRef/>
        </w:r>
        <w:r w:rsidR="00152440" w:rsidRPr="005F1B3F">
          <w:rPr>
            <w:rStyle w:val="Hyperlink"/>
            <w:lang w:val="en-GB"/>
          </w:rPr>
          <w:t xml:space="preserve"> EBF response to the BoE and ECB Discussion Paper on the case for a better functioning securitisation market in the EU</w:t>
        </w:r>
      </w:hyperlink>
      <w:r w:rsidR="00152440">
        <w:rPr>
          <w:lang w:val="en-GB"/>
        </w:rPr>
        <w:t xml:space="preserve"> (July 2014). </w:t>
      </w:r>
    </w:p>
  </w:footnote>
  <w:footnote w:id="5">
    <w:p w14:paraId="42F73A4A" w14:textId="0C6B608C" w:rsidR="0035612F" w:rsidRPr="0009302E" w:rsidRDefault="0035612F" w:rsidP="00860D63">
      <w:pPr>
        <w:pStyle w:val="FootnoteText"/>
        <w:jc w:val="both"/>
        <w:rPr>
          <w:lang w:val="en-GB"/>
        </w:rPr>
      </w:pPr>
      <w:r>
        <w:rPr>
          <w:rStyle w:val="FootnoteReference"/>
        </w:rPr>
        <w:footnoteRef/>
      </w:r>
      <w:r w:rsidRPr="0009302E">
        <w:rPr>
          <w:lang w:val="en-GB"/>
        </w:rPr>
        <w:t xml:space="preserve"> </w:t>
      </w:r>
      <w:hyperlink r:id="rId3" w:history="1">
        <w:r w:rsidRPr="0035612F">
          <w:rPr>
            <w:rStyle w:val="Hyperlink"/>
            <w:lang w:val="en-GB"/>
          </w:rPr>
          <w:t>EBA Discussion Paper (figure 20 in page 76)</w:t>
        </w:r>
      </w:hyperlink>
      <w:r>
        <w:rPr>
          <w:lang w:val="en-GB"/>
        </w:rPr>
        <w:t xml:space="preserve">. </w:t>
      </w:r>
    </w:p>
  </w:footnote>
  <w:footnote w:id="6">
    <w:p w14:paraId="445B22D3" w14:textId="489DD917" w:rsidR="003B3F69" w:rsidRPr="00860D63" w:rsidRDefault="003B3F69" w:rsidP="00860D63">
      <w:pPr>
        <w:pStyle w:val="FootnoteText"/>
        <w:jc w:val="both"/>
        <w:rPr>
          <w:lang w:val="en-GB"/>
        </w:rPr>
      </w:pPr>
      <w:r>
        <w:rPr>
          <w:rStyle w:val="FootnoteReference"/>
        </w:rPr>
        <w:footnoteRef/>
      </w:r>
      <w:r w:rsidRPr="00860D63">
        <w:rPr>
          <w:lang w:val="en-GB"/>
        </w:rPr>
        <w:t xml:space="preserve"> </w:t>
      </w:r>
      <w:hyperlink r:id="rId4" w:history="1">
        <w:r w:rsidRPr="003B3F69">
          <w:rPr>
            <w:rStyle w:val="Hyperlink"/>
            <w:lang w:val="en-GB"/>
          </w:rPr>
          <w:t>EBF response to the BCBS first consultation on revisions to the Basel Securitisation Framework</w:t>
        </w:r>
      </w:hyperlink>
      <w:r w:rsidRPr="00860D63">
        <w:rPr>
          <w:lang w:val="en-GB"/>
        </w:rPr>
        <w:t xml:space="preserve"> (March 2013).</w:t>
      </w:r>
      <w:r>
        <w:rPr>
          <w:lang w:val="en-GB"/>
        </w:rPr>
        <w:t xml:space="preserve"> </w:t>
      </w:r>
    </w:p>
  </w:footnote>
  <w:footnote w:id="7">
    <w:p w14:paraId="28EC6F45" w14:textId="75F1DEDB" w:rsidR="00F37B26" w:rsidRPr="00860D63" w:rsidRDefault="00F37B26" w:rsidP="00860D63">
      <w:pPr>
        <w:pStyle w:val="FootnoteText"/>
        <w:jc w:val="both"/>
        <w:rPr>
          <w:lang w:val="en-GB"/>
        </w:rPr>
      </w:pPr>
      <w:r>
        <w:rPr>
          <w:rStyle w:val="FootnoteReference"/>
        </w:rPr>
        <w:footnoteRef/>
      </w:r>
      <w:r w:rsidRPr="00860D63">
        <w:rPr>
          <w:lang w:val="en-GB"/>
        </w:rPr>
        <w:t xml:space="preserve"> </w:t>
      </w:r>
      <w:r w:rsidR="001A2C31" w:rsidRPr="001A2C31">
        <w:rPr>
          <w:lang w:val="en-GB"/>
        </w:rPr>
        <w:t xml:space="preserve">Proposal not supported by the </w:t>
      </w:r>
      <w:r w:rsidR="001A2C31">
        <w:rPr>
          <w:lang w:val="en-GB"/>
        </w:rPr>
        <w:t>German Banking Association</w:t>
      </w:r>
      <w:r w:rsidR="001A2C31" w:rsidRPr="001A2C31">
        <w:rPr>
          <w:lang w:val="en-GB"/>
        </w:rPr>
        <w:t xml:space="preserve"> until careful examination is conducted.</w:t>
      </w:r>
      <w:r w:rsidR="001A2C31">
        <w:rPr>
          <w:lang w:val="en-GB"/>
        </w:rPr>
        <w:t xml:space="preserve"> </w:t>
      </w:r>
      <w:r>
        <w:rPr>
          <w:lang w:val="en-GB"/>
        </w:rPr>
        <w:t xml:space="preserve"> </w:t>
      </w:r>
    </w:p>
  </w:footnote>
  <w:footnote w:id="8">
    <w:p w14:paraId="1511E674" w14:textId="4D00CAEA" w:rsidR="006A456F" w:rsidRPr="008474EF" w:rsidRDefault="006A456F" w:rsidP="00860D63">
      <w:pPr>
        <w:pStyle w:val="FootnoteText"/>
        <w:jc w:val="both"/>
        <w:rPr>
          <w:lang w:val="en-GB"/>
        </w:rPr>
      </w:pPr>
      <w:r>
        <w:rPr>
          <w:rStyle w:val="FootnoteReference"/>
        </w:rPr>
        <w:footnoteRef/>
      </w:r>
      <w:r w:rsidRPr="008474EF">
        <w:rPr>
          <w:lang w:val="en-GB"/>
        </w:rPr>
        <w:t xml:space="preserve"> </w:t>
      </w:r>
      <w:r w:rsidR="00FB5C31">
        <w:rPr>
          <w:lang w:val="en-GB"/>
        </w:rPr>
        <w:t xml:space="preserve">Solution presented in “How to Revive the European Securitisation Market: A Proposal for a European SSFA”; Duponcheele, Linden and Perraudin (November 2014). Links to </w:t>
      </w:r>
      <w:hyperlink r:id="rId5" w:history="1">
        <w:r w:rsidR="00FB5C31" w:rsidRPr="00FB5C31">
          <w:rPr>
            <w:rStyle w:val="Hyperlink"/>
            <w:lang w:val="en-GB"/>
          </w:rPr>
          <w:t>Executive Summary</w:t>
        </w:r>
      </w:hyperlink>
      <w:r w:rsidR="00FB5C31">
        <w:rPr>
          <w:lang w:val="en-GB"/>
        </w:rPr>
        <w:t xml:space="preserve"> and </w:t>
      </w:r>
      <w:hyperlink r:id="rId6" w:history="1">
        <w:r w:rsidR="00FB5C31" w:rsidRPr="00FB5C31">
          <w:rPr>
            <w:rStyle w:val="Hyperlink"/>
            <w:lang w:val="en-GB"/>
          </w:rPr>
          <w:t>Full Paper</w:t>
        </w:r>
      </w:hyperlink>
      <w:r w:rsidR="00FB5C31">
        <w:rPr>
          <w:lang w:val="en-GB"/>
        </w:rPr>
        <w:t xml:space="preserve">.  </w:t>
      </w:r>
    </w:p>
  </w:footnote>
  <w:footnote w:id="9">
    <w:p w14:paraId="54D7AC91" w14:textId="0E9279D9" w:rsidR="00E72294" w:rsidRPr="00860D63" w:rsidRDefault="00E72294" w:rsidP="00860D63">
      <w:pPr>
        <w:pStyle w:val="FootnoteText"/>
        <w:jc w:val="both"/>
        <w:rPr>
          <w:lang w:val="en-GB"/>
        </w:rPr>
      </w:pPr>
      <w:r>
        <w:rPr>
          <w:rStyle w:val="FootnoteReference"/>
        </w:rPr>
        <w:footnoteRef/>
      </w:r>
      <w:r w:rsidRPr="00860D63">
        <w:rPr>
          <w:lang w:val="en-GB"/>
        </w:rPr>
        <w:t xml:space="preserve"> </w:t>
      </w:r>
      <w:r w:rsidRPr="00E72294">
        <w:rPr>
          <w:lang w:val="en-GB"/>
        </w:rPr>
        <w:t>In particular, the legal systems of Member States may provide regulations carving out from general principles of insolvency law and enabling to materially mitigate or exclude the Deposit Risk embedded in synthetic transactions, even in case the Credit Protection Assets are constituted by cash</w:t>
      </w:r>
      <w:r>
        <w:rPr>
          <w:lang w:val="en-GB"/>
        </w:rPr>
        <w:t xml:space="preserve">. </w:t>
      </w:r>
    </w:p>
  </w:footnote>
  <w:footnote w:id="10">
    <w:p w14:paraId="220F5C2B" w14:textId="4794291C" w:rsidR="00152440" w:rsidRPr="00DE1932" w:rsidRDefault="00152440" w:rsidP="00152440">
      <w:pPr>
        <w:pStyle w:val="FootnoteText"/>
        <w:rPr>
          <w:lang w:val="en-GB"/>
        </w:rPr>
      </w:pPr>
      <w:r>
        <w:rPr>
          <w:rStyle w:val="FootnoteReference"/>
        </w:rPr>
        <w:footnoteRef/>
      </w:r>
      <w:r w:rsidRPr="00AD58F1">
        <w:rPr>
          <w:lang w:val="en-GB"/>
        </w:rPr>
        <w:t xml:space="preserve"> The Conservative Monotone Approach (CMA) is a closed form analytic capital model that uses an asset class based approach to calibration to achieve better risk-sensitivity (see Duponcheele, G. et al, “Calibration of the CMA and Regulatory Capital for Securitisations”). For calibration of the SSFA to the CMA (under both SA and IRB inputs) refer to Dupo</w:t>
      </w:r>
      <w:r w:rsidR="00A66E7F">
        <w:rPr>
          <w:lang w:val="en-GB"/>
        </w:rPr>
        <w:t>n</w:t>
      </w:r>
      <w:r w:rsidRPr="00AD58F1">
        <w:rPr>
          <w:lang w:val="en-GB"/>
        </w:rPr>
        <w:t>cheele, G. et al, “Calibration of the SSFA”.</w:t>
      </w:r>
      <w:r>
        <w:rPr>
          <w:lang w:val="en-GB"/>
        </w:rPr>
        <w:t xml:space="preserve"> </w:t>
      </w:r>
    </w:p>
  </w:footnote>
  <w:footnote w:id="11">
    <w:p w14:paraId="1066331B" w14:textId="77777777" w:rsidR="008459F8" w:rsidRPr="008474EF" w:rsidRDefault="008459F8" w:rsidP="008459F8">
      <w:pPr>
        <w:pStyle w:val="FootnoteText"/>
        <w:rPr>
          <w:lang w:val="en-GB"/>
        </w:rPr>
      </w:pPr>
      <w:r>
        <w:rPr>
          <w:rStyle w:val="FootnoteReference"/>
        </w:rPr>
        <w:footnoteRef/>
      </w:r>
      <w:r w:rsidRPr="008474EF">
        <w:rPr>
          <w:lang w:val="en-GB"/>
        </w:rPr>
        <w:t xml:space="preserve"> Source Moody’s – EMEA ABCP Market Summary: Q3 2013. </w:t>
      </w:r>
    </w:p>
    <w:p w14:paraId="3BC35E30" w14:textId="77777777" w:rsidR="008459F8" w:rsidRPr="008474EF" w:rsidRDefault="008459F8" w:rsidP="008459F8">
      <w:pPr>
        <w:pStyle w:val="FootnoteText"/>
        <w:rPr>
          <w:lang w:val="en-GB"/>
        </w:rPr>
      </w:pPr>
      <w:r w:rsidRPr="008474EF">
        <w:rPr>
          <w:lang w:val="en-GB"/>
        </w:rPr>
        <w:t>Asset Split by Asset Type – Multi-Seller Portfolios: Trade receivables: 45% + Auto loans: 14% + Auto leases: 11% = 70%.</w:t>
      </w:r>
    </w:p>
  </w:footnote>
  <w:footnote w:id="12">
    <w:p w14:paraId="510126F0" w14:textId="77777777" w:rsidR="008459F8" w:rsidRPr="004974E8" w:rsidRDefault="008459F8" w:rsidP="008459F8">
      <w:pPr>
        <w:pStyle w:val="FootnoteText"/>
        <w:jc w:val="both"/>
      </w:pPr>
      <w:r>
        <w:rPr>
          <w:rStyle w:val="FootnoteReference"/>
        </w:rPr>
        <w:footnoteRef/>
      </w:r>
      <w:r w:rsidRPr="00AB5A2C">
        <w:rPr>
          <w:lang w:val="en-GB"/>
        </w:rPr>
        <w:t xml:space="preserve"> EBC Legal opinion point 6.3  “Further, MMFs play an important role as one of the main investors in the market for short-term securitised assets, such as Asset Backed Commercial Papers (ABCPs). The ABCP market is important for the intermediation of short-term credit to the real economy, e.g. trade credit. The proposed regulation sets forth requirements for eligibility of securitised assets for investment by MMFs, including requirements for the underlying pool of assets regarding type, credit and liquidity risk and maturity limit33. While the ECB acknowledges that these requirements will increase the transparency of MMF investment portfolios and improve credit and liquidity risk management, it suggests evaluating the benefits of the contemplated restrictions to investment in ABCPs against their impact on the functioning and depth of the securitisation markets.  </w:t>
      </w:r>
      <w:hyperlink r:id="rId7" w:history="1">
        <w:r w:rsidRPr="004974E8">
          <w:t>https://www.ecb.europa.eu/ecb/legal/pdf/en_con_2014_36_f_sign_2.pdf</w:t>
        </w:r>
      </w:hyperlink>
    </w:p>
    <w:p w14:paraId="343F9450" w14:textId="77777777" w:rsidR="008459F8" w:rsidRPr="00B36957" w:rsidRDefault="008459F8" w:rsidP="008459F8">
      <w:pPr>
        <w:pStyle w:val="FootnoteTex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1149E" w14:textId="77777777" w:rsidR="00F77EAA" w:rsidRDefault="00F77EAA">
    <w:pPr>
      <w:pStyle w:val="Header"/>
    </w:pPr>
    <w:r>
      <w:rPr>
        <w:noProof/>
        <w:lang w:val="en-GB" w:eastAsia="en-GB"/>
      </w:rPr>
      <w:drawing>
        <wp:anchor distT="0" distB="0" distL="114300" distR="114300" simplePos="0" relativeHeight="251658240" behindDoc="0" locked="0" layoutInCell="1" allowOverlap="1" wp14:anchorId="4BC114A0" wp14:editId="4BC114A1">
          <wp:simplePos x="0" y="0"/>
          <wp:positionH relativeFrom="margin">
            <wp:posOffset>-635</wp:posOffset>
          </wp:positionH>
          <wp:positionV relativeFrom="paragraph">
            <wp:posOffset>-15240</wp:posOffset>
          </wp:positionV>
          <wp:extent cx="1371600" cy="495935"/>
          <wp:effectExtent l="0" t="0" r="0" b="0"/>
          <wp:wrapNone/>
          <wp:docPr id="1" name="Picture 1" descr="C:\Users\itadmin\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admin\Desktop\logo.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065F"/>
    <w:multiLevelType w:val="hybridMultilevel"/>
    <w:tmpl w:val="114A8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581B62"/>
    <w:multiLevelType w:val="hybridMultilevel"/>
    <w:tmpl w:val="4D5C2452"/>
    <w:lvl w:ilvl="0" w:tplc="BE207210">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2">
    <w:nsid w:val="06D305C7"/>
    <w:multiLevelType w:val="hybridMultilevel"/>
    <w:tmpl w:val="13ACFC58"/>
    <w:lvl w:ilvl="0" w:tplc="346430B0">
      <w:start w:val="4"/>
      <w:numFmt w:val="lowerLetter"/>
      <w:lvlText w:val="%1)"/>
      <w:lvlJc w:val="left"/>
      <w:pPr>
        <w:tabs>
          <w:tab w:val="num" w:pos="1776"/>
        </w:tabs>
        <w:ind w:left="1776" w:hanging="360"/>
      </w:pPr>
      <w:rPr>
        <w:rFonts w:cs="Times New Roman" w:hint="default"/>
      </w:rPr>
    </w:lvl>
    <w:lvl w:ilvl="1" w:tplc="0C0A0019" w:tentative="1">
      <w:start w:val="1"/>
      <w:numFmt w:val="lowerLetter"/>
      <w:lvlText w:val="%2."/>
      <w:lvlJc w:val="left"/>
      <w:pPr>
        <w:tabs>
          <w:tab w:val="num" w:pos="2496"/>
        </w:tabs>
        <w:ind w:left="2496" w:hanging="360"/>
      </w:pPr>
      <w:rPr>
        <w:rFonts w:cs="Times New Roman"/>
      </w:rPr>
    </w:lvl>
    <w:lvl w:ilvl="2" w:tplc="0C0A001B" w:tentative="1">
      <w:start w:val="1"/>
      <w:numFmt w:val="lowerRoman"/>
      <w:lvlText w:val="%3."/>
      <w:lvlJc w:val="right"/>
      <w:pPr>
        <w:tabs>
          <w:tab w:val="num" w:pos="3216"/>
        </w:tabs>
        <w:ind w:left="3216" w:hanging="180"/>
      </w:pPr>
      <w:rPr>
        <w:rFonts w:cs="Times New Roman"/>
      </w:rPr>
    </w:lvl>
    <w:lvl w:ilvl="3" w:tplc="0C0A000F" w:tentative="1">
      <w:start w:val="1"/>
      <w:numFmt w:val="decimal"/>
      <w:lvlText w:val="%4."/>
      <w:lvlJc w:val="left"/>
      <w:pPr>
        <w:tabs>
          <w:tab w:val="num" w:pos="3936"/>
        </w:tabs>
        <w:ind w:left="3936" w:hanging="360"/>
      </w:pPr>
      <w:rPr>
        <w:rFonts w:cs="Times New Roman"/>
      </w:rPr>
    </w:lvl>
    <w:lvl w:ilvl="4" w:tplc="0C0A0019" w:tentative="1">
      <w:start w:val="1"/>
      <w:numFmt w:val="lowerLetter"/>
      <w:lvlText w:val="%5."/>
      <w:lvlJc w:val="left"/>
      <w:pPr>
        <w:tabs>
          <w:tab w:val="num" w:pos="4656"/>
        </w:tabs>
        <w:ind w:left="4656" w:hanging="360"/>
      </w:pPr>
      <w:rPr>
        <w:rFonts w:cs="Times New Roman"/>
      </w:rPr>
    </w:lvl>
    <w:lvl w:ilvl="5" w:tplc="0C0A001B" w:tentative="1">
      <w:start w:val="1"/>
      <w:numFmt w:val="lowerRoman"/>
      <w:lvlText w:val="%6."/>
      <w:lvlJc w:val="right"/>
      <w:pPr>
        <w:tabs>
          <w:tab w:val="num" w:pos="5376"/>
        </w:tabs>
        <w:ind w:left="5376" w:hanging="180"/>
      </w:pPr>
      <w:rPr>
        <w:rFonts w:cs="Times New Roman"/>
      </w:rPr>
    </w:lvl>
    <w:lvl w:ilvl="6" w:tplc="0C0A000F" w:tentative="1">
      <w:start w:val="1"/>
      <w:numFmt w:val="decimal"/>
      <w:lvlText w:val="%7."/>
      <w:lvlJc w:val="left"/>
      <w:pPr>
        <w:tabs>
          <w:tab w:val="num" w:pos="6096"/>
        </w:tabs>
        <w:ind w:left="6096" w:hanging="360"/>
      </w:pPr>
      <w:rPr>
        <w:rFonts w:cs="Times New Roman"/>
      </w:rPr>
    </w:lvl>
    <w:lvl w:ilvl="7" w:tplc="0C0A0019" w:tentative="1">
      <w:start w:val="1"/>
      <w:numFmt w:val="lowerLetter"/>
      <w:lvlText w:val="%8."/>
      <w:lvlJc w:val="left"/>
      <w:pPr>
        <w:tabs>
          <w:tab w:val="num" w:pos="6816"/>
        </w:tabs>
        <w:ind w:left="6816" w:hanging="360"/>
      </w:pPr>
      <w:rPr>
        <w:rFonts w:cs="Times New Roman"/>
      </w:rPr>
    </w:lvl>
    <w:lvl w:ilvl="8" w:tplc="0C0A001B" w:tentative="1">
      <w:start w:val="1"/>
      <w:numFmt w:val="lowerRoman"/>
      <w:lvlText w:val="%9."/>
      <w:lvlJc w:val="right"/>
      <w:pPr>
        <w:tabs>
          <w:tab w:val="num" w:pos="7536"/>
        </w:tabs>
        <w:ind w:left="7536" w:hanging="180"/>
      </w:pPr>
      <w:rPr>
        <w:rFonts w:cs="Times New Roman"/>
      </w:rPr>
    </w:lvl>
  </w:abstractNum>
  <w:abstractNum w:abstractNumId="3">
    <w:nsid w:val="0EDA72F5"/>
    <w:multiLevelType w:val="hybridMultilevel"/>
    <w:tmpl w:val="C200123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0F655A29"/>
    <w:multiLevelType w:val="hybridMultilevel"/>
    <w:tmpl w:val="283A9CFC"/>
    <w:lvl w:ilvl="0" w:tplc="BE207210">
      <w:start w:val="1"/>
      <w:numFmt w:val="bullet"/>
      <w:lvlText w:val=""/>
      <w:lvlJc w:val="left"/>
      <w:pPr>
        <w:tabs>
          <w:tab w:val="num" w:pos="1788"/>
        </w:tabs>
        <w:ind w:left="1788" w:hanging="360"/>
      </w:pPr>
      <w:rPr>
        <w:rFonts w:ascii="Symbol" w:hAnsi="Symbol" w:hint="default"/>
      </w:rPr>
    </w:lvl>
    <w:lvl w:ilvl="1" w:tplc="0C0A0003" w:tentative="1">
      <w:start w:val="1"/>
      <w:numFmt w:val="bullet"/>
      <w:lvlText w:val="o"/>
      <w:lvlJc w:val="left"/>
      <w:pPr>
        <w:tabs>
          <w:tab w:val="num" w:pos="2868"/>
        </w:tabs>
        <w:ind w:left="2868" w:hanging="360"/>
      </w:pPr>
      <w:rPr>
        <w:rFonts w:ascii="Courier New" w:hAnsi="Courier New" w:hint="default"/>
      </w:rPr>
    </w:lvl>
    <w:lvl w:ilvl="2" w:tplc="0C0A0005" w:tentative="1">
      <w:start w:val="1"/>
      <w:numFmt w:val="bullet"/>
      <w:lvlText w:val=""/>
      <w:lvlJc w:val="left"/>
      <w:pPr>
        <w:tabs>
          <w:tab w:val="num" w:pos="3588"/>
        </w:tabs>
        <w:ind w:left="3588" w:hanging="360"/>
      </w:pPr>
      <w:rPr>
        <w:rFonts w:ascii="Wingdings" w:hAnsi="Wingdings" w:hint="default"/>
      </w:rPr>
    </w:lvl>
    <w:lvl w:ilvl="3" w:tplc="0C0A0001" w:tentative="1">
      <w:start w:val="1"/>
      <w:numFmt w:val="bullet"/>
      <w:lvlText w:val=""/>
      <w:lvlJc w:val="left"/>
      <w:pPr>
        <w:tabs>
          <w:tab w:val="num" w:pos="4308"/>
        </w:tabs>
        <w:ind w:left="4308" w:hanging="360"/>
      </w:pPr>
      <w:rPr>
        <w:rFonts w:ascii="Symbol" w:hAnsi="Symbol" w:hint="default"/>
      </w:rPr>
    </w:lvl>
    <w:lvl w:ilvl="4" w:tplc="0C0A0003" w:tentative="1">
      <w:start w:val="1"/>
      <w:numFmt w:val="bullet"/>
      <w:lvlText w:val="o"/>
      <w:lvlJc w:val="left"/>
      <w:pPr>
        <w:tabs>
          <w:tab w:val="num" w:pos="5028"/>
        </w:tabs>
        <w:ind w:left="5028" w:hanging="360"/>
      </w:pPr>
      <w:rPr>
        <w:rFonts w:ascii="Courier New" w:hAnsi="Courier New" w:hint="default"/>
      </w:rPr>
    </w:lvl>
    <w:lvl w:ilvl="5" w:tplc="0C0A0005" w:tentative="1">
      <w:start w:val="1"/>
      <w:numFmt w:val="bullet"/>
      <w:lvlText w:val=""/>
      <w:lvlJc w:val="left"/>
      <w:pPr>
        <w:tabs>
          <w:tab w:val="num" w:pos="5748"/>
        </w:tabs>
        <w:ind w:left="5748" w:hanging="360"/>
      </w:pPr>
      <w:rPr>
        <w:rFonts w:ascii="Wingdings" w:hAnsi="Wingdings" w:hint="default"/>
      </w:rPr>
    </w:lvl>
    <w:lvl w:ilvl="6" w:tplc="0C0A0001" w:tentative="1">
      <w:start w:val="1"/>
      <w:numFmt w:val="bullet"/>
      <w:lvlText w:val=""/>
      <w:lvlJc w:val="left"/>
      <w:pPr>
        <w:tabs>
          <w:tab w:val="num" w:pos="6468"/>
        </w:tabs>
        <w:ind w:left="6468" w:hanging="360"/>
      </w:pPr>
      <w:rPr>
        <w:rFonts w:ascii="Symbol" w:hAnsi="Symbol" w:hint="default"/>
      </w:rPr>
    </w:lvl>
    <w:lvl w:ilvl="7" w:tplc="0C0A0003" w:tentative="1">
      <w:start w:val="1"/>
      <w:numFmt w:val="bullet"/>
      <w:lvlText w:val="o"/>
      <w:lvlJc w:val="left"/>
      <w:pPr>
        <w:tabs>
          <w:tab w:val="num" w:pos="7188"/>
        </w:tabs>
        <w:ind w:left="7188" w:hanging="360"/>
      </w:pPr>
      <w:rPr>
        <w:rFonts w:ascii="Courier New" w:hAnsi="Courier New" w:hint="default"/>
      </w:rPr>
    </w:lvl>
    <w:lvl w:ilvl="8" w:tplc="0C0A0005" w:tentative="1">
      <w:start w:val="1"/>
      <w:numFmt w:val="bullet"/>
      <w:lvlText w:val=""/>
      <w:lvlJc w:val="left"/>
      <w:pPr>
        <w:tabs>
          <w:tab w:val="num" w:pos="7908"/>
        </w:tabs>
        <w:ind w:left="7908" w:hanging="360"/>
      </w:pPr>
      <w:rPr>
        <w:rFonts w:ascii="Wingdings" w:hAnsi="Wingdings" w:hint="default"/>
      </w:rPr>
    </w:lvl>
  </w:abstractNum>
  <w:abstractNum w:abstractNumId="5">
    <w:nsid w:val="286272A5"/>
    <w:multiLevelType w:val="hybridMultilevel"/>
    <w:tmpl w:val="A1220490"/>
    <w:lvl w:ilvl="0" w:tplc="BE207210">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nsid w:val="31750570"/>
    <w:multiLevelType w:val="hybridMultilevel"/>
    <w:tmpl w:val="91E0B08C"/>
    <w:lvl w:ilvl="0" w:tplc="E46A3B2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B560F86"/>
    <w:multiLevelType w:val="hybridMultilevel"/>
    <w:tmpl w:val="8470600A"/>
    <w:lvl w:ilvl="0" w:tplc="BE207210">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8">
    <w:nsid w:val="3C1E02D2"/>
    <w:multiLevelType w:val="hybridMultilevel"/>
    <w:tmpl w:val="64AA4F1A"/>
    <w:lvl w:ilvl="0" w:tplc="0C0A0017">
      <w:start w:val="1"/>
      <w:numFmt w:val="lowerLetter"/>
      <w:lvlText w:val="%1)"/>
      <w:lvlJc w:val="left"/>
      <w:pPr>
        <w:tabs>
          <w:tab w:val="num" w:pos="1788"/>
        </w:tabs>
        <w:ind w:left="1788" w:hanging="360"/>
      </w:pPr>
      <w:rPr>
        <w:rFonts w:cs="Times New Roman" w:hint="default"/>
      </w:rPr>
    </w:lvl>
    <w:lvl w:ilvl="1" w:tplc="BE207210">
      <w:start w:val="1"/>
      <w:numFmt w:val="bullet"/>
      <w:lvlText w:val=""/>
      <w:lvlJc w:val="left"/>
      <w:pPr>
        <w:tabs>
          <w:tab w:val="num" w:pos="2148"/>
        </w:tabs>
        <w:ind w:left="2148" w:hanging="360"/>
      </w:pPr>
      <w:rPr>
        <w:rFonts w:ascii="Symbol" w:hAnsi="Symbol" w:hint="default"/>
      </w:rPr>
    </w:lvl>
    <w:lvl w:ilvl="2" w:tplc="0C0A0005" w:tentative="1">
      <w:start w:val="1"/>
      <w:numFmt w:val="bullet"/>
      <w:lvlText w:val=""/>
      <w:lvlJc w:val="left"/>
      <w:pPr>
        <w:tabs>
          <w:tab w:val="num" w:pos="3588"/>
        </w:tabs>
        <w:ind w:left="3588" w:hanging="360"/>
      </w:pPr>
      <w:rPr>
        <w:rFonts w:ascii="Wingdings" w:hAnsi="Wingdings" w:hint="default"/>
      </w:rPr>
    </w:lvl>
    <w:lvl w:ilvl="3" w:tplc="0C0A0001" w:tentative="1">
      <w:start w:val="1"/>
      <w:numFmt w:val="bullet"/>
      <w:lvlText w:val=""/>
      <w:lvlJc w:val="left"/>
      <w:pPr>
        <w:tabs>
          <w:tab w:val="num" w:pos="4308"/>
        </w:tabs>
        <w:ind w:left="4308" w:hanging="360"/>
      </w:pPr>
      <w:rPr>
        <w:rFonts w:ascii="Symbol" w:hAnsi="Symbol" w:hint="default"/>
      </w:rPr>
    </w:lvl>
    <w:lvl w:ilvl="4" w:tplc="0C0A0003" w:tentative="1">
      <w:start w:val="1"/>
      <w:numFmt w:val="bullet"/>
      <w:lvlText w:val="o"/>
      <w:lvlJc w:val="left"/>
      <w:pPr>
        <w:tabs>
          <w:tab w:val="num" w:pos="5028"/>
        </w:tabs>
        <w:ind w:left="5028" w:hanging="360"/>
      </w:pPr>
      <w:rPr>
        <w:rFonts w:ascii="Courier New" w:hAnsi="Courier New" w:hint="default"/>
      </w:rPr>
    </w:lvl>
    <w:lvl w:ilvl="5" w:tplc="0C0A0005" w:tentative="1">
      <w:start w:val="1"/>
      <w:numFmt w:val="bullet"/>
      <w:lvlText w:val=""/>
      <w:lvlJc w:val="left"/>
      <w:pPr>
        <w:tabs>
          <w:tab w:val="num" w:pos="5748"/>
        </w:tabs>
        <w:ind w:left="5748" w:hanging="360"/>
      </w:pPr>
      <w:rPr>
        <w:rFonts w:ascii="Wingdings" w:hAnsi="Wingdings" w:hint="default"/>
      </w:rPr>
    </w:lvl>
    <w:lvl w:ilvl="6" w:tplc="0C0A0001" w:tentative="1">
      <w:start w:val="1"/>
      <w:numFmt w:val="bullet"/>
      <w:lvlText w:val=""/>
      <w:lvlJc w:val="left"/>
      <w:pPr>
        <w:tabs>
          <w:tab w:val="num" w:pos="6468"/>
        </w:tabs>
        <w:ind w:left="6468" w:hanging="360"/>
      </w:pPr>
      <w:rPr>
        <w:rFonts w:ascii="Symbol" w:hAnsi="Symbol" w:hint="default"/>
      </w:rPr>
    </w:lvl>
    <w:lvl w:ilvl="7" w:tplc="0C0A0003" w:tentative="1">
      <w:start w:val="1"/>
      <w:numFmt w:val="bullet"/>
      <w:lvlText w:val="o"/>
      <w:lvlJc w:val="left"/>
      <w:pPr>
        <w:tabs>
          <w:tab w:val="num" w:pos="7188"/>
        </w:tabs>
        <w:ind w:left="7188" w:hanging="360"/>
      </w:pPr>
      <w:rPr>
        <w:rFonts w:ascii="Courier New" w:hAnsi="Courier New" w:hint="default"/>
      </w:rPr>
    </w:lvl>
    <w:lvl w:ilvl="8" w:tplc="0C0A0005" w:tentative="1">
      <w:start w:val="1"/>
      <w:numFmt w:val="bullet"/>
      <w:lvlText w:val=""/>
      <w:lvlJc w:val="left"/>
      <w:pPr>
        <w:tabs>
          <w:tab w:val="num" w:pos="7908"/>
        </w:tabs>
        <w:ind w:left="7908" w:hanging="360"/>
      </w:pPr>
      <w:rPr>
        <w:rFonts w:ascii="Wingdings" w:hAnsi="Wingdings" w:hint="default"/>
      </w:rPr>
    </w:lvl>
  </w:abstractNum>
  <w:abstractNum w:abstractNumId="9">
    <w:nsid w:val="475952FA"/>
    <w:multiLevelType w:val="hybridMultilevel"/>
    <w:tmpl w:val="1200EAC2"/>
    <w:lvl w:ilvl="0" w:tplc="BE207210">
      <w:start w:val="1"/>
      <w:numFmt w:val="bullet"/>
      <w:lvlText w:val=""/>
      <w:lvlJc w:val="left"/>
      <w:pPr>
        <w:tabs>
          <w:tab w:val="num" w:pos="1068"/>
        </w:tabs>
        <w:ind w:left="1068" w:hanging="360"/>
      </w:pPr>
      <w:rPr>
        <w:rFonts w:ascii="Symbol" w:hAnsi="Symbol" w:hint="default"/>
      </w:rPr>
    </w:lvl>
    <w:lvl w:ilvl="1" w:tplc="0C0A001B">
      <w:start w:val="1"/>
      <w:numFmt w:val="lowerRoman"/>
      <w:lvlText w:val="%2."/>
      <w:lvlJc w:val="right"/>
      <w:pPr>
        <w:tabs>
          <w:tab w:val="num" w:pos="2148"/>
        </w:tabs>
        <w:ind w:left="2148" w:hanging="360"/>
      </w:pPr>
      <w:rPr>
        <w:rFonts w:cs="Times New Roman"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nsid w:val="49B91390"/>
    <w:multiLevelType w:val="hybridMultilevel"/>
    <w:tmpl w:val="C292D8AC"/>
    <w:lvl w:ilvl="0" w:tplc="BE207210">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hint="default"/>
      </w:rPr>
    </w:lvl>
    <w:lvl w:ilvl="2" w:tplc="BE207210">
      <w:start w:val="1"/>
      <w:numFmt w:val="bullet"/>
      <w:lvlText w:val=""/>
      <w:lvlJc w:val="left"/>
      <w:pPr>
        <w:tabs>
          <w:tab w:val="num" w:pos="2868"/>
        </w:tabs>
        <w:ind w:left="2868" w:hanging="360"/>
      </w:pPr>
      <w:rPr>
        <w:rFonts w:ascii="Symbol" w:hAnsi="Symbol"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nsid w:val="4AB542F7"/>
    <w:multiLevelType w:val="hybridMultilevel"/>
    <w:tmpl w:val="8E92E862"/>
    <w:lvl w:ilvl="0" w:tplc="0C0A001B">
      <w:start w:val="1"/>
      <w:numFmt w:val="lowerRoman"/>
      <w:lvlText w:val="%1."/>
      <w:lvlJc w:val="right"/>
      <w:pPr>
        <w:tabs>
          <w:tab w:val="num" w:pos="1428"/>
        </w:tabs>
        <w:ind w:left="142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12">
    <w:nsid w:val="57C84ED6"/>
    <w:multiLevelType w:val="hybridMultilevel"/>
    <w:tmpl w:val="EE7C934A"/>
    <w:lvl w:ilvl="0" w:tplc="E46A3B22">
      <w:start w:val="1"/>
      <w:numFmt w:val="bullet"/>
      <w:lvlText w:val="­"/>
      <w:lvlJc w:val="left"/>
      <w:pPr>
        <w:ind w:left="1068" w:hanging="360"/>
      </w:pPr>
      <w:rPr>
        <w:rFonts w:ascii="Courier New" w:hAnsi="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58771E93"/>
    <w:multiLevelType w:val="hybridMultilevel"/>
    <w:tmpl w:val="53E03AFE"/>
    <w:lvl w:ilvl="0" w:tplc="90E633D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6F4F6DCB"/>
    <w:multiLevelType w:val="hybridMultilevel"/>
    <w:tmpl w:val="245A0698"/>
    <w:lvl w:ilvl="0" w:tplc="A7A602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243563E"/>
    <w:multiLevelType w:val="hybridMultilevel"/>
    <w:tmpl w:val="DCF2DDD6"/>
    <w:lvl w:ilvl="0" w:tplc="0C0A0017">
      <w:start w:val="1"/>
      <w:numFmt w:val="lowerLetter"/>
      <w:lvlText w:val="%1)"/>
      <w:lvlJc w:val="left"/>
      <w:pPr>
        <w:tabs>
          <w:tab w:val="num" w:pos="1428"/>
        </w:tabs>
        <w:ind w:left="1428" w:hanging="360"/>
      </w:pPr>
      <w:rPr>
        <w:rFonts w:cs="Times New Roman" w:hint="default"/>
      </w:rPr>
    </w:lvl>
    <w:lvl w:ilvl="1" w:tplc="BE207210">
      <w:start w:val="1"/>
      <w:numFmt w:val="bullet"/>
      <w:lvlText w:val=""/>
      <w:lvlJc w:val="left"/>
      <w:pPr>
        <w:tabs>
          <w:tab w:val="num" w:pos="2148"/>
        </w:tabs>
        <w:ind w:left="2148" w:hanging="360"/>
      </w:pPr>
      <w:rPr>
        <w:rFonts w:ascii="Symbol" w:hAnsi="Symbol"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757A1DF2"/>
    <w:multiLevelType w:val="hybridMultilevel"/>
    <w:tmpl w:val="03042B1C"/>
    <w:lvl w:ilvl="0" w:tplc="BE207210">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7AFF4DFA"/>
    <w:multiLevelType w:val="hybridMultilevel"/>
    <w:tmpl w:val="7410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FB87E4F"/>
    <w:multiLevelType w:val="hybridMultilevel"/>
    <w:tmpl w:val="FC803ED4"/>
    <w:lvl w:ilvl="0" w:tplc="76AC126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16"/>
  </w:num>
  <w:num w:numId="5">
    <w:abstractNumId w:val="9"/>
  </w:num>
  <w:num w:numId="6">
    <w:abstractNumId w:val="11"/>
  </w:num>
  <w:num w:numId="7">
    <w:abstractNumId w:val="15"/>
  </w:num>
  <w:num w:numId="8">
    <w:abstractNumId w:val="4"/>
  </w:num>
  <w:num w:numId="9">
    <w:abstractNumId w:val="8"/>
  </w:num>
  <w:num w:numId="10">
    <w:abstractNumId w:val="2"/>
  </w:num>
  <w:num w:numId="11">
    <w:abstractNumId w:val="10"/>
  </w:num>
  <w:num w:numId="12">
    <w:abstractNumId w:val="5"/>
  </w:num>
  <w:num w:numId="13">
    <w:abstractNumId w:val="1"/>
  </w:num>
  <w:num w:numId="14">
    <w:abstractNumId w:val="13"/>
  </w:num>
  <w:num w:numId="15">
    <w:abstractNumId w:val="17"/>
  </w:num>
  <w:num w:numId="16">
    <w:abstractNumId w:val="6"/>
  </w:num>
  <w:num w:numId="17">
    <w:abstractNumId w:val="18"/>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BC"/>
    <w:rsid w:val="00004924"/>
    <w:rsid w:val="000371D0"/>
    <w:rsid w:val="0004008F"/>
    <w:rsid w:val="00076CB5"/>
    <w:rsid w:val="00081D02"/>
    <w:rsid w:val="0009302E"/>
    <w:rsid w:val="000B274A"/>
    <w:rsid w:val="00146D8F"/>
    <w:rsid w:val="00152440"/>
    <w:rsid w:val="001A2C31"/>
    <w:rsid w:val="001D56DA"/>
    <w:rsid w:val="001E1BD6"/>
    <w:rsid w:val="00270227"/>
    <w:rsid w:val="002A12F7"/>
    <w:rsid w:val="002A46C5"/>
    <w:rsid w:val="002F39C2"/>
    <w:rsid w:val="003138B8"/>
    <w:rsid w:val="003410D8"/>
    <w:rsid w:val="0035612F"/>
    <w:rsid w:val="00356ABA"/>
    <w:rsid w:val="00364560"/>
    <w:rsid w:val="0036713E"/>
    <w:rsid w:val="00374D5D"/>
    <w:rsid w:val="003917F7"/>
    <w:rsid w:val="003B054D"/>
    <w:rsid w:val="003B3F69"/>
    <w:rsid w:val="003F1120"/>
    <w:rsid w:val="0040771B"/>
    <w:rsid w:val="00453F62"/>
    <w:rsid w:val="00461992"/>
    <w:rsid w:val="00463FC6"/>
    <w:rsid w:val="004B62DE"/>
    <w:rsid w:val="0053308D"/>
    <w:rsid w:val="005514C1"/>
    <w:rsid w:val="005870BC"/>
    <w:rsid w:val="00590A92"/>
    <w:rsid w:val="005929D1"/>
    <w:rsid w:val="005A5809"/>
    <w:rsid w:val="005E4951"/>
    <w:rsid w:val="00615383"/>
    <w:rsid w:val="006238BC"/>
    <w:rsid w:val="0063181F"/>
    <w:rsid w:val="00657874"/>
    <w:rsid w:val="006A3959"/>
    <w:rsid w:val="006A456F"/>
    <w:rsid w:val="006A67C8"/>
    <w:rsid w:val="006D53C7"/>
    <w:rsid w:val="007060FA"/>
    <w:rsid w:val="00743587"/>
    <w:rsid w:val="00757A96"/>
    <w:rsid w:val="007A49E5"/>
    <w:rsid w:val="007B7768"/>
    <w:rsid w:val="007D64F5"/>
    <w:rsid w:val="00835B0C"/>
    <w:rsid w:val="008459F8"/>
    <w:rsid w:val="008474EF"/>
    <w:rsid w:val="00860D63"/>
    <w:rsid w:val="008B4B85"/>
    <w:rsid w:val="008D70EE"/>
    <w:rsid w:val="008E47BF"/>
    <w:rsid w:val="00904231"/>
    <w:rsid w:val="0091227A"/>
    <w:rsid w:val="00963B39"/>
    <w:rsid w:val="00967C6D"/>
    <w:rsid w:val="00A109C9"/>
    <w:rsid w:val="00A5021C"/>
    <w:rsid w:val="00A66E7F"/>
    <w:rsid w:val="00A748EF"/>
    <w:rsid w:val="00A825F6"/>
    <w:rsid w:val="00AC7F82"/>
    <w:rsid w:val="00AE4D38"/>
    <w:rsid w:val="00B158C5"/>
    <w:rsid w:val="00B34549"/>
    <w:rsid w:val="00B35EC3"/>
    <w:rsid w:val="00B81F58"/>
    <w:rsid w:val="00B83E3C"/>
    <w:rsid w:val="00BB7D4F"/>
    <w:rsid w:val="00BD7E75"/>
    <w:rsid w:val="00C15802"/>
    <w:rsid w:val="00C75151"/>
    <w:rsid w:val="00C85B1D"/>
    <w:rsid w:val="00D64E0D"/>
    <w:rsid w:val="00DE0094"/>
    <w:rsid w:val="00E021DD"/>
    <w:rsid w:val="00E2432E"/>
    <w:rsid w:val="00E3117F"/>
    <w:rsid w:val="00E64159"/>
    <w:rsid w:val="00E72294"/>
    <w:rsid w:val="00EC197F"/>
    <w:rsid w:val="00EE5C5F"/>
    <w:rsid w:val="00F138E8"/>
    <w:rsid w:val="00F25A76"/>
    <w:rsid w:val="00F37B26"/>
    <w:rsid w:val="00F608C3"/>
    <w:rsid w:val="00F63238"/>
    <w:rsid w:val="00F77EAA"/>
    <w:rsid w:val="00FA15AD"/>
    <w:rsid w:val="00FB5C31"/>
    <w:rsid w:val="00FC6C18"/>
    <w:rsid w:val="00FD33D9"/>
    <w:rsid w:val="00FE7D0C"/>
    <w:rsid w:val="00FF78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C1148E"/>
  <w15:chartTrackingRefBased/>
  <w15:docId w15:val="{2981B543-C31F-4227-926F-BC705B91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EAA"/>
    <w:pPr>
      <w:keepNext/>
      <w:keepLines/>
      <w:spacing w:before="240" w:after="0"/>
      <w:outlineLvl w:val="0"/>
    </w:pPr>
    <w:rPr>
      <w:rFonts w:asciiTheme="majorHAnsi" w:eastAsiaTheme="majorEastAsia" w:hAnsiTheme="majorHAnsi" w:cstheme="majorBidi"/>
      <w:color w:val="ED7D31" w:themeColor="accent2"/>
      <w:sz w:val="32"/>
      <w:szCs w:val="32"/>
    </w:rPr>
  </w:style>
  <w:style w:type="paragraph" w:styleId="Heading2">
    <w:name w:val="heading 2"/>
    <w:basedOn w:val="Normal"/>
    <w:next w:val="Normal"/>
    <w:link w:val="Heading2Char"/>
    <w:uiPriority w:val="9"/>
    <w:unhideWhenUsed/>
    <w:qFormat/>
    <w:rsid w:val="00F77EAA"/>
    <w:pPr>
      <w:keepNext/>
      <w:keepLines/>
      <w:spacing w:before="40" w:after="0"/>
      <w:outlineLvl w:val="1"/>
    </w:pPr>
    <w:rPr>
      <w:rFonts w:asciiTheme="majorHAnsi" w:eastAsiaTheme="majorEastAsia" w:hAnsiTheme="majorHAnsi" w:cstheme="majorBidi"/>
      <w:color w:val="ED7D31"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7E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7EAA"/>
  </w:style>
  <w:style w:type="paragraph" w:styleId="Footer">
    <w:name w:val="footer"/>
    <w:basedOn w:val="Normal"/>
    <w:link w:val="FooterChar"/>
    <w:uiPriority w:val="99"/>
    <w:unhideWhenUsed/>
    <w:rsid w:val="00F77E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7EAA"/>
  </w:style>
  <w:style w:type="character" w:styleId="Hyperlink">
    <w:name w:val="Hyperlink"/>
    <w:basedOn w:val="DefaultParagraphFont"/>
    <w:uiPriority w:val="99"/>
    <w:unhideWhenUsed/>
    <w:rsid w:val="00F77EAA"/>
    <w:rPr>
      <w:color w:val="0563C1" w:themeColor="hyperlink"/>
      <w:u w:val="single"/>
    </w:rPr>
  </w:style>
  <w:style w:type="character" w:customStyle="1" w:styleId="Heading1Char">
    <w:name w:val="Heading 1 Char"/>
    <w:basedOn w:val="DefaultParagraphFont"/>
    <w:link w:val="Heading1"/>
    <w:uiPriority w:val="9"/>
    <w:rsid w:val="00F77EAA"/>
    <w:rPr>
      <w:rFonts w:asciiTheme="majorHAnsi" w:eastAsiaTheme="majorEastAsia" w:hAnsiTheme="majorHAnsi" w:cstheme="majorBidi"/>
      <w:color w:val="ED7D31" w:themeColor="accent2"/>
      <w:sz w:val="32"/>
      <w:szCs w:val="32"/>
    </w:rPr>
  </w:style>
  <w:style w:type="character" w:customStyle="1" w:styleId="Heading2Char">
    <w:name w:val="Heading 2 Char"/>
    <w:basedOn w:val="DefaultParagraphFont"/>
    <w:link w:val="Heading2"/>
    <w:uiPriority w:val="9"/>
    <w:rsid w:val="00F77EAA"/>
    <w:rPr>
      <w:rFonts w:asciiTheme="majorHAnsi" w:eastAsiaTheme="majorEastAsia" w:hAnsiTheme="majorHAnsi" w:cstheme="majorBidi"/>
      <w:color w:val="ED7D31" w:themeColor="accent2"/>
      <w:sz w:val="26"/>
      <w:szCs w:val="26"/>
    </w:rPr>
  </w:style>
  <w:style w:type="character" w:styleId="IntenseEmphasis">
    <w:name w:val="Intense Emphasis"/>
    <w:basedOn w:val="DefaultParagraphFont"/>
    <w:uiPriority w:val="21"/>
    <w:qFormat/>
    <w:rsid w:val="00F77EAA"/>
    <w:rPr>
      <w:i/>
      <w:iCs/>
      <w:color w:val="ED7D31" w:themeColor="accent2"/>
    </w:rPr>
  </w:style>
  <w:style w:type="table" w:styleId="LightList-Accent3">
    <w:name w:val="Light List Accent 3"/>
    <w:basedOn w:val="TableNormal"/>
    <w:uiPriority w:val="61"/>
    <w:semiHidden/>
    <w:unhideWhenUsed/>
    <w:rsid w:val="00F77EA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Subtitle">
    <w:name w:val="Subtitle"/>
    <w:basedOn w:val="Normal"/>
    <w:next w:val="Normal"/>
    <w:link w:val="SubtitleChar"/>
    <w:uiPriority w:val="11"/>
    <w:qFormat/>
    <w:rsid w:val="00C85B1D"/>
    <w:pPr>
      <w:spacing w:after="60" w:line="276" w:lineRule="auto"/>
      <w:outlineLvl w:val="1"/>
    </w:pPr>
    <w:rPr>
      <w:rFonts w:eastAsia="Times New Roman" w:cs="Times New Roman"/>
      <w:color w:val="ED7D31" w:themeColor="accent2"/>
      <w:sz w:val="28"/>
      <w:szCs w:val="24"/>
      <w:lang w:val="en-US"/>
    </w:rPr>
  </w:style>
  <w:style w:type="character" w:customStyle="1" w:styleId="SubtitleChar">
    <w:name w:val="Subtitle Char"/>
    <w:basedOn w:val="DefaultParagraphFont"/>
    <w:link w:val="Subtitle"/>
    <w:uiPriority w:val="11"/>
    <w:rsid w:val="00C85B1D"/>
    <w:rPr>
      <w:rFonts w:eastAsia="Times New Roman" w:cs="Times New Roman"/>
      <w:color w:val="ED7D31" w:themeColor="accent2"/>
      <w:sz w:val="28"/>
      <w:szCs w:val="24"/>
      <w:lang w:val="en-US"/>
    </w:rPr>
  </w:style>
  <w:style w:type="paragraph" w:styleId="NoSpacing">
    <w:name w:val="No Spacing"/>
    <w:aliases w:val="text"/>
    <w:uiPriority w:val="1"/>
    <w:qFormat/>
    <w:rsid w:val="00C85B1D"/>
    <w:pPr>
      <w:spacing w:after="0" w:line="240" w:lineRule="auto"/>
    </w:pPr>
    <w:rPr>
      <w:rFonts w:ascii="Times" w:eastAsia="Calibri" w:hAnsi="Times" w:cs="Times New Roman"/>
      <w:sz w:val="24"/>
      <w:lang w:val="en-US"/>
    </w:rPr>
  </w:style>
  <w:style w:type="paragraph" w:styleId="BalloonText">
    <w:name w:val="Balloon Text"/>
    <w:basedOn w:val="Normal"/>
    <w:link w:val="BalloonTextChar"/>
    <w:uiPriority w:val="99"/>
    <w:semiHidden/>
    <w:unhideWhenUsed/>
    <w:rsid w:val="008D7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EE"/>
    <w:rPr>
      <w:rFonts w:ascii="Segoe UI" w:hAnsi="Segoe UI" w:cs="Segoe UI"/>
      <w:sz w:val="18"/>
      <w:szCs w:val="18"/>
    </w:rPr>
  </w:style>
  <w:style w:type="paragraph" w:styleId="FootnoteText">
    <w:name w:val="footnote text"/>
    <w:basedOn w:val="Normal"/>
    <w:link w:val="FootnoteTextChar"/>
    <w:uiPriority w:val="99"/>
    <w:semiHidden/>
    <w:rsid w:val="00152440"/>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152440"/>
    <w:rPr>
      <w:rFonts w:ascii="Calibri" w:eastAsia="Calibri" w:hAnsi="Calibri" w:cs="Times New Roman"/>
      <w:sz w:val="20"/>
      <w:szCs w:val="20"/>
    </w:rPr>
  </w:style>
  <w:style w:type="character" w:styleId="FootnoteReference">
    <w:name w:val="footnote reference"/>
    <w:basedOn w:val="DefaultParagraphFont"/>
    <w:uiPriority w:val="99"/>
    <w:semiHidden/>
    <w:rsid w:val="00152440"/>
    <w:rPr>
      <w:rFonts w:cs="Times New Roman"/>
      <w:vertAlign w:val="superscript"/>
    </w:rPr>
  </w:style>
  <w:style w:type="paragraph" w:styleId="ListParagraph">
    <w:name w:val="List Paragraph"/>
    <w:basedOn w:val="Normal"/>
    <w:uiPriority w:val="34"/>
    <w:qFormat/>
    <w:rsid w:val="0053308D"/>
    <w:pPr>
      <w:ind w:left="720"/>
      <w:contextualSpacing/>
    </w:pPr>
  </w:style>
  <w:style w:type="character" w:styleId="CommentReference">
    <w:name w:val="annotation reference"/>
    <w:basedOn w:val="DefaultParagraphFont"/>
    <w:uiPriority w:val="99"/>
    <w:semiHidden/>
    <w:unhideWhenUsed/>
    <w:rsid w:val="00076CB5"/>
    <w:rPr>
      <w:sz w:val="16"/>
      <w:szCs w:val="16"/>
    </w:rPr>
  </w:style>
  <w:style w:type="paragraph" w:styleId="CommentText">
    <w:name w:val="annotation text"/>
    <w:basedOn w:val="Normal"/>
    <w:link w:val="CommentTextChar"/>
    <w:uiPriority w:val="99"/>
    <w:semiHidden/>
    <w:unhideWhenUsed/>
    <w:rsid w:val="00076CB5"/>
    <w:pPr>
      <w:spacing w:line="240" w:lineRule="auto"/>
    </w:pPr>
    <w:rPr>
      <w:sz w:val="20"/>
      <w:szCs w:val="20"/>
    </w:rPr>
  </w:style>
  <w:style w:type="character" w:customStyle="1" w:styleId="CommentTextChar">
    <w:name w:val="Comment Text Char"/>
    <w:basedOn w:val="DefaultParagraphFont"/>
    <w:link w:val="CommentText"/>
    <w:uiPriority w:val="99"/>
    <w:semiHidden/>
    <w:rsid w:val="00076CB5"/>
    <w:rPr>
      <w:sz w:val="20"/>
      <w:szCs w:val="20"/>
    </w:rPr>
  </w:style>
  <w:style w:type="character" w:styleId="FollowedHyperlink">
    <w:name w:val="FollowedHyperlink"/>
    <w:basedOn w:val="DefaultParagraphFont"/>
    <w:uiPriority w:val="99"/>
    <w:semiHidden/>
    <w:unhideWhenUsed/>
    <w:rsid w:val="00757A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ba.europa.eu/documents/10180/846157/EBA-DP-2014-02+Discussion+Paper+on+simple+standard+and+transparent+securitisations.pdf" TargetMode="External"/><Relationship Id="rId7" Type="http://schemas.openxmlformats.org/officeDocument/2006/relationships/hyperlink" Target="https://www.ecb.europa.eu/ecb/legal/pdf/en_con_2014_36_f_sign_2.pdf" TargetMode="External"/><Relationship Id="rId2" Type="http://schemas.openxmlformats.org/officeDocument/2006/relationships/hyperlink" Target="http://www.ebf-fbe.eu/wp-content/uploads/2014/07/EBF_008877C-EBF-response-to-the-DP-on-securitisation-of-June-2014.pdf" TargetMode="External"/><Relationship Id="rId1" Type="http://schemas.openxmlformats.org/officeDocument/2006/relationships/hyperlink" Target="http://www.ebf-fbe.eu/wp-content/uploads/2014/03/EBF_007396-EBF-response-to-BCBS-2nd-consultation-on-Revisions-to-Securitisation-Framework.pdf" TargetMode="External"/><Relationship Id="rId6" Type="http://schemas.openxmlformats.org/officeDocument/2006/relationships/hyperlink" Target="http://www.riskcontrollimited.com/public/How_to_Revive_the_European_Securitisation_Market.pdf" TargetMode="External"/><Relationship Id="rId5" Type="http://schemas.openxmlformats.org/officeDocument/2006/relationships/hyperlink" Target="http://www.riskcontrollimited.com/public/Exec_Sum_How_to_Revive_the_European_Securitisation_Market.pdf" TargetMode="External"/><Relationship Id="rId4" Type="http://schemas.openxmlformats.org/officeDocument/2006/relationships/hyperlink" Target="http://www.ebf-fbe.eu/uploads/D2495H-2013%20EBF%20Final%20response%20to%20BCBS%20consultation%20on%20Securitisation%20(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BF Document" ma:contentTypeID="0x0101004BE274EDB6DB4922B212C2A6A2929FFF00BCF1E64675986D4F9FE2F35FCEC862E5" ma:contentTypeVersion="15" ma:contentTypeDescription="Create a new document." ma:contentTypeScope="" ma:versionID="60bcd726ab36bd8f625e8fced38150d7">
  <xsd:schema xmlns:xsd="http://www.w3.org/2001/XMLSchema" xmlns:xs="http://www.w3.org/2001/XMLSchema" xmlns:p="http://schemas.microsoft.com/office/2006/metadata/properties" xmlns:ns1="http://schemas.microsoft.com/sharepoint/v3" xmlns:ns2="8b76e640-9ff4-4d3b-a80d-ae743ace85eb" targetNamespace="http://schemas.microsoft.com/office/2006/metadata/properties" ma:root="true" ma:fieldsID="3d7be7e7e9f32f23e8291f18bcfc8311" ns1:_="" ns2:_="">
    <xsd:import namespace="http://schemas.microsoft.com/sharepoint/v3"/>
    <xsd:import namespace="8b76e640-9ff4-4d3b-a80d-ae743ace85eb"/>
    <xsd:element name="properties">
      <xsd:complexType>
        <xsd:sequence>
          <xsd:element name="documentManagement">
            <xsd:complexType>
              <xsd:all>
                <xsd:element ref="ns2:DocRef" minOccurs="0"/>
                <xsd:element ref="ns2:DocType" minOccurs="0"/>
                <xsd:element ref="ns2:DocSource" minOccurs="0"/>
                <xsd:element ref="ns2:ReviewURL" minOccurs="0"/>
                <xsd:element ref="ns2:OriginalDocUrl" minOccurs="0"/>
                <xsd:element ref="ns2:DocSnippet" minOccurs="0"/>
                <xsd:element ref="ns2:ReferenceVersion" minOccurs="0"/>
                <xsd:element ref="ns2:ReferenceFile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internalName="PublishingStartDate">
      <xsd:simpleType>
        <xsd:restriction base="dms:Unknown"/>
      </xsd:simpleType>
    </xsd:element>
    <xsd:element name="PublishingExpirationDate" ma:index="17"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76e640-9ff4-4d3b-a80d-ae743ace85eb" elementFormDefault="qualified">
    <xsd:import namespace="http://schemas.microsoft.com/office/2006/documentManagement/types"/>
    <xsd:import namespace="http://schemas.microsoft.com/office/infopath/2007/PartnerControls"/>
    <xsd:element name="DocRef" ma:index="8" nillable="true" ma:displayName="Document Ref" ma:internalName="DocRef" ma:readOnly="false">
      <xsd:simpleType>
        <xsd:restriction base="dms:Text"/>
      </xsd:simpleType>
    </xsd:element>
    <xsd:element name="DocType" ma:index="9" nillable="true" ma:displayName="Document Type" ma:internalName="DocType" ma:readOnly="false">
      <xsd:simpleType>
        <xsd:restriction base="dms:Text"/>
      </xsd:simpleType>
    </xsd:element>
    <xsd:element name="DocSource" ma:index="10" nillable="true" ma:displayName="Document Source" ma:format="Dropdown" ma:internalName="DocSource" ma:readOnly="false">
      <xsd:simpleType>
        <xsd:restriction base="dms:Choice">
          <xsd:enumeration value="Internal"/>
          <xsd:enumeration value="External"/>
          <xsd:enumeration value="External without reference"/>
        </xsd:restriction>
      </xsd:simpleType>
    </xsd:element>
    <xsd:element name="ReviewURL" ma:index="11" nillable="true" ma:displayName="Review Location" ma:internalName="Review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riginalDocUrl" ma:index="12" nillable="true" ma:displayName="Original Document Location" ma:internalName="OriginalDoc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Snippet" ma:index="13" nillable="true" ma:displayName="Snippet" ma:internalName="DocSnippet" ma:readOnly="false">
      <xsd:simpleType>
        <xsd:restriction base="dms:Choice">
          <xsd:enumeration value="Agenda"/>
          <xsd:enumeration value="C-Letter"/>
          <xsd:enumeration value="Chief Executive Letter"/>
          <xsd:enumeration value="Coms Doc"/>
          <xsd:enumeration value="Excochair Letter"/>
          <xsd:enumeration value="Fax"/>
          <xsd:enumeration value="Letter President"/>
          <xsd:enumeration value="Master Document"/>
          <xsd:enumeration value="Memo"/>
          <xsd:enumeration value="Minutes"/>
          <xsd:enumeration value="Non C-Letter"/>
          <xsd:enumeration value="Press Release"/>
          <xsd:enumeration value="Public Document"/>
          <xsd:enumeration value="Statement"/>
          <xsd:enumeration value="TWG Template"/>
        </xsd:restriction>
      </xsd:simpleType>
    </xsd:element>
    <xsd:element name="ReferenceVersion" ma:index="14" nillable="true" ma:displayName="Reference Version" ma:internalName="ReferenceVersion" ma:readOnly="false">
      <xsd:simpleType>
        <xsd:restriction base="dms:Text"/>
      </xsd:simpleType>
    </xsd:element>
    <xsd:element name="ReferenceFileID" ma:index="15" nillable="true" ma:displayName="Reference File ID" ma:internalName="ReferenceFileID"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FileID xmlns="8b76e640-9ff4-4d3b-a80d-ae743ace85eb">23</ReferenceFileID>
    <DocRef xmlns="8b76e640-9ff4-4d3b-a80d-ae743ace85eb">EBF_012235G</DocRef>
    <DocSnippet xmlns="8b76e640-9ff4-4d3b-a80d-ae743ace85eb">Public Document</DocSnippet>
    <ReferenceVersion xmlns="8b76e640-9ff4-4d3b-a80d-ae743ace85eb">A</ReferenceVersion>
    <DocSource xmlns="8b76e640-9ff4-4d3b-a80d-ae743ace85eb">External</DocSource>
    <ReviewURL xmlns="8b76e640-9ff4-4d3b-a80d-ae743ace85eb">
      <Url xsi:nil="true"/>
      <Description xsi:nil="true"/>
    </ReviewURL>
    <DocType xmlns="8b76e640-9ff4-4d3b-a80d-ae743ace85eb" xsi:nil="true"/>
    <OriginalDocUrl xmlns="8b76e640-9ff4-4d3b-a80d-ae743ace85eb">
      <Url xsi:nil="true"/>
      <Description xsi:nil="true"/>
    </OriginalDocUrl>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8F418-03EE-4346-85D9-1C831B6D0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76e640-9ff4-4d3b-a80d-ae743ace85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D674C-0CEB-4E08-A94F-6DF4DB618A1B}">
  <ds:schemaRefs>
    <ds:schemaRef ds:uri="http://schemas.microsoft.com/sharepoint/v3/contenttype/forms"/>
  </ds:schemaRefs>
</ds:datastoreItem>
</file>

<file path=customXml/itemProps3.xml><?xml version="1.0" encoding="utf-8"?>
<ds:datastoreItem xmlns:ds="http://schemas.openxmlformats.org/officeDocument/2006/customXml" ds:itemID="{D3ECCBAF-B518-4B50-8B4B-951656F54453}">
  <ds:schemaRefs>
    <ds:schemaRef ds:uri="http://schemas.microsoft.com/office/infopath/2007/PartnerControls"/>
    <ds:schemaRef ds:uri="http://schemas.microsoft.com/sharepoint/v3"/>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8b76e640-9ff4-4d3b-a80d-ae743ace85e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DD97178-E11E-4026-9F65-3C09D69A5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8588</Words>
  <Characters>48958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EBF_012235 - EBF response to EBA DP on Securitisation.docx</vt:lpstr>
    </vt:vector>
  </TitlesOfParts>
  <Company>EBF</Company>
  <LinksUpToDate>false</LinksUpToDate>
  <CharactersWithSpaces>57432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EBF_012235 - EBF response to EBA DP on Securitisation.docx</dc:title>
  <dc:subject/>
  <dc:creator>itadmin</dc:creator>
  <cp:keywords/>
  <dc:description/>
  <cp:lastModifiedBy>Gonzalo Gasos</cp:lastModifiedBy>
  <cp:revision>2</cp:revision>
  <cp:lastPrinted>2014-09-18T14:06:00Z</cp:lastPrinted>
  <dcterms:created xsi:type="dcterms:W3CDTF">2015-01-14T16:09:00Z</dcterms:created>
  <dcterms:modified xsi:type="dcterms:W3CDTF">2015-01-14T16:09:00Z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0x0101004BE274EDB6DB4922B212C2A6A2929FFF00BCF1E64675986D4F9FE2F35FCEC862E5</vt:lpwstr>
  </property>
</Properties>
</file>