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70" w:type="dxa"/>
          <w:right w:w="70" w:type="dxa"/>
        </w:tblCellMar>
        <w:tblLook w:val="0000" w:firstRow="0" w:lastRow="0" w:firstColumn="0" w:lastColumn="0" w:noHBand="0" w:noVBand="0"/>
      </w:tblPr>
      <w:tblGrid>
        <w:gridCol w:w="5102"/>
        <w:gridCol w:w="4649"/>
      </w:tblGrid>
      <w:tr w:rsidR="00642235" w:rsidRPr="005966DB" w14:paraId="226103F4" w14:textId="77777777" w:rsidTr="00D364F4">
        <w:trPr>
          <w:trHeight w:hRule="exact" w:val="3600"/>
        </w:trPr>
        <w:tc>
          <w:tcPr>
            <w:tcW w:w="5102" w:type="dxa"/>
          </w:tcPr>
          <w:p w14:paraId="37201658" w14:textId="77777777" w:rsidR="00B51CB0" w:rsidRPr="00805DBB" w:rsidRDefault="00650AE5" w:rsidP="00CE5D6F">
            <w:r>
              <w:rPr>
                <w:lang w:val="fi-FI"/>
              </w:rPr>
              <w:br/>
            </w:r>
          </w:p>
          <w:p w14:paraId="6505EE55" w14:textId="77777777" w:rsidR="00B51CB0" w:rsidRDefault="00DA4E3C" w:rsidP="00CE5D6F">
            <w:pPr>
              <w:rPr>
                <w:lang w:val="fi-FI"/>
              </w:rPr>
            </w:pPr>
            <w:r>
              <w:rPr>
                <w:lang w:val="fi-FI"/>
              </w:rPr>
              <w:t>European Banking Authority (EBA)</w:t>
            </w:r>
          </w:p>
          <w:p w14:paraId="2F950DD8" w14:textId="77777777" w:rsidR="00CB2954" w:rsidRPr="00B22761" w:rsidRDefault="00CB2954" w:rsidP="00CE5D6F">
            <w:pPr>
              <w:rPr>
                <w:sz w:val="52"/>
                <w:szCs w:val="52"/>
                <w:lang w:val="fi-FI"/>
              </w:rPr>
            </w:pPr>
          </w:p>
        </w:tc>
        <w:tc>
          <w:tcPr>
            <w:tcW w:w="4649" w:type="dxa"/>
          </w:tcPr>
          <w:p w14:paraId="0440DE94" w14:textId="77777777" w:rsidR="00642235" w:rsidRPr="00D364F4" w:rsidRDefault="00642235" w:rsidP="00CE5D6F">
            <w:pPr>
              <w:spacing w:line="220" w:lineRule="atLeast"/>
              <w:jc w:val="right"/>
              <w:rPr>
                <w:b/>
                <w:bCs/>
                <w:color w:val="000000"/>
                <w:sz w:val="6"/>
                <w:szCs w:val="6"/>
                <w:lang w:val="fi-FI"/>
              </w:rPr>
            </w:pPr>
          </w:p>
          <w:p w14:paraId="47A795B4" w14:textId="77777777" w:rsidR="00642235" w:rsidRPr="00D364F4" w:rsidRDefault="00642235" w:rsidP="00CE5D6F">
            <w:pPr>
              <w:spacing w:line="220" w:lineRule="atLeast"/>
              <w:jc w:val="right"/>
              <w:rPr>
                <w:b/>
                <w:bCs/>
                <w:color w:val="000000"/>
                <w:sz w:val="6"/>
                <w:szCs w:val="6"/>
                <w:lang w:val="fi-FI"/>
              </w:rPr>
            </w:pPr>
          </w:p>
          <w:p w14:paraId="0326EE3D" w14:textId="77777777" w:rsidR="00642235" w:rsidRPr="00D364F4" w:rsidRDefault="00642235" w:rsidP="00CE5D6F">
            <w:pPr>
              <w:spacing w:line="220" w:lineRule="atLeast"/>
              <w:jc w:val="right"/>
              <w:rPr>
                <w:b/>
                <w:bCs/>
                <w:color w:val="000000"/>
                <w:sz w:val="6"/>
                <w:szCs w:val="6"/>
                <w:lang w:val="fi-FI"/>
              </w:rPr>
            </w:pPr>
          </w:p>
          <w:p w14:paraId="078E5775" w14:textId="77777777" w:rsidR="00642235" w:rsidRPr="00D364F4" w:rsidRDefault="00642235" w:rsidP="00CE5D6F">
            <w:pPr>
              <w:spacing w:line="260" w:lineRule="atLeast"/>
              <w:jc w:val="right"/>
              <w:rPr>
                <w:b/>
                <w:bCs/>
                <w:noProof/>
                <w:color w:val="000000"/>
                <w:sz w:val="18"/>
                <w:szCs w:val="18"/>
                <w:lang w:val="en-GB"/>
              </w:rPr>
            </w:pPr>
            <w:r w:rsidRPr="00B55633">
              <w:rPr>
                <w:b/>
                <w:bCs/>
                <w:noProof/>
                <w:color w:val="000000"/>
                <w:sz w:val="18"/>
                <w:szCs w:val="18"/>
                <w:lang w:val="fi-FI"/>
              </w:rPr>
              <w:t xml:space="preserve"> </w:t>
            </w:r>
            <w:r w:rsidRPr="00D364F4">
              <w:rPr>
                <w:b/>
                <w:bCs/>
                <w:noProof/>
                <w:color w:val="000000"/>
                <w:sz w:val="18"/>
                <w:szCs w:val="18"/>
                <w:lang w:val="en-GB"/>
              </w:rPr>
              <w:t>Division Bank and Insurance</w:t>
            </w:r>
          </w:p>
          <w:p w14:paraId="7ABDC6F2" w14:textId="77777777" w:rsidR="00C47B46" w:rsidRPr="00D364F4" w:rsidRDefault="00C47B46" w:rsidP="00CE5D6F">
            <w:pPr>
              <w:spacing w:line="260" w:lineRule="atLeast"/>
              <w:jc w:val="right"/>
              <w:rPr>
                <w:bCs/>
                <w:color w:val="000000"/>
                <w:sz w:val="18"/>
                <w:szCs w:val="18"/>
                <w:lang w:val="en-GB"/>
              </w:rPr>
            </w:pPr>
            <w:r w:rsidRPr="00D364F4">
              <w:rPr>
                <w:bCs/>
                <w:noProof/>
                <w:color w:val="000000"/>
                <w:sz w:val="18"/>
                <w:szCs w:val="18"/>
                <w:lang w:val="en-GB"/>
              </w:rPr>
              <w:t>Austrian Federal Economic Chamber</w:t>
            </w:r>
          </w:p>
          <w:p w14:paraId="5D861F86" w14:textId="77777777" w:rsidR="00642235" w:rsidRPr="00CE5D6F" w:rsidRDefault="00642235" w:rsidP="00CE5D6F">
            <w:pPr>
              <w:spacing w:line="260" w:lineRule="atLeast"/>
              <w:jc w:val="right"/>
              <w:rPr>
                <w:color w:val="000000"/>
                <w:sz w:val="18"/>
                <w:szCs w:val="18"/>
                <w:lang w:val="de-AT"/>
              </w:rPr>
            </w:pPr>
            <w:r w:rsidRPr="00CE5D6F">
              <w:rPr>
                <w:noProof/>
                <w:color w:val="000000"/>
                <w:sz w:val="18"/>
                <w:szCs w:val="18"/>
                <w:lang w:val="de-AT"/>
              </w:rPr>
              <w:t>Wiedner Hauptstraße 63 | P.O. Box 320</w:t>
            </w:r>
          </w:p>
          <w:p w14:paraId="7D743EB4" w14:textId="77777777" w:rsidR="00642235" w:rsidRPr="00CE5D6F" w:rsidRDefault="00642235" w:rsidP="00CE5D6F">
            <w:pPr>
              <w:spacing w:line="260" w:lineRule="atLeast"/>
              <w:jc w:val="right"/>
              <w:rPr>
                <w:color w:val="000000"/>
                <w:sz w:val="18"/>
                <w:szCs w:val="18"/>
                <w:lang w:val="de-AT"/>
              </w:rPr>
            </w:pPr>
            <w:r w:rsidRPr="00CE5D6F">
              <w:rPr>
                <w:noProof/>
                <w:color w:val="000000"/>
                <w:sz w:val="18"/>
                <w:szCs w:val="18"/>
                <w:lang w:val="de-AT"/>
              </w:rPr>
              <w:t>1045 Vienna</w:t>
            </w:r>
          </w:p>
          <w:p w14:paraId="6F967639" w14:textId="77777777" w:rsidR="00642235" w:rsidRPr="00D364F4" w:rsidRDefault="00642235" w:rsidP="00CE5D6F">
            <w:pPr>
              <w:spacing w:line="260" w:lineRule="atLeast"/>
              <w:jc w:val="right"/>
              <w:rPr>
                <w:color w:val="000000"/>
                <w:sz w:val="18"/>
                <w:szCs w:val="18"/>
              </w:rPr>
            </w:pPr>
            <w:r w:rsidRPr="00B51CB0">
              <w:rPr>
                <w:noProof/>
                <w:color w:val="000000"/>
                <w:sz w:val="18"/>
                <w:szCs w:val="18"/>
                <w:lang w:val="de-AT"/>
              </w:rPr>
              <w:t>T +43 (0)5 90 900-DW | F +43 (0)5 90 900-27</w:t>
            </w:r>
            <w:r w:rsidRPr="00D364F4">
              <w:rPr>
                <w:noProof/>
                <w:color w:val="000000"/>
                <w:sz w:val="18"/>
                <w:szCs w:val="18"/>
              </w:rPr>
              <w:t>2</w:t>
            </w:r>
          </w:p>
          <w:p w14:paraId="7A426C34" w14:textId="77777777" w:rsidR="00642235" w:rsidRPr="00D364F4" w:rsidRDefault="00642235" w:rsidP="00CE5D6F">
            <w:pPr>
              <w:spacing w:line="260" w:lineRule="atLeast"/>
              <w:jc w:val="right"/>
              <w:rPr>
                <w:color w:val="000000"/>
                <w:sz w:val="18"/>
                <w:szCs w:val="18"/>
              </w:rPr>
            </w:pPr>
            <w:r w:rsidRPr="00D364F4">
              <w:rPr>
                <w:noProof/>
                <w:color w:val="000000"/>
                <w:sz w:val="18"/>
                <w:szCs w:val="18"/>
              </w:rPr>
              <w:t>E  bsbv@wko.at</w:t>
            </w:r>
          </w:p>
          <w:p w14:paraId="613DFEB3" w14:textId="77777777" w:rsidR="00642235" w:rsidRPr="00D364F4" w:rsidRDefault="00642235" w:rsidP="00CE5D6F">
            <w:pPr>
              <w:spacing w:line="260" w:lineRule="atLeast"/>
              <w:jc w:val="right"/>
              <w:rPr>
                <w:lang w:val="en-GB"/>
              </w:rPr>
            </w:pPr>
            <w:r w:rsidRPr="00D364F4">
              <w:rPr>
                <w:noProof/>
                <w:color w:val="000000"/>
                <w:sz w:val="18"/>
                <w:szCs w:val="18"/>
                <w:lang w:val="en-GB"/>
              </w:rPr>
              <w:t>W  http://wko.at/bsbv</w:t>
            </w:r>
          </w:p>
        </w:tc>
      </w:tr>
    </w:tbl>
    <w:p w14:paraId="7EE162D5" w14:textId="77777777" w:rsidR="00642235" w:rsidRPr="00C21BF0" w:rsidRDefault="00642235" w:rsidP="00CE5D6F">
      <w:pPr>
        <w:tabs>
          <w:tab w:val="left" w:pos="2892"/>
          <w:tab w:val="left" w:pos="5783"/>
          <w:tab w:val="left" w:pos="7655"/>
        </w:tabs>
        <w:rPr>
          <w:color w:val="000000"/>
          <w:sz w:val="16"/>
          <w:szCs w:val="16"/>
          <w:lang w:val="en-GB"/>
        </w:rPr>
      </w:pPr>
      <w:r w:rsidRPr="00C21BF0">
        <w:rPr>
          <w:noProof/>
          <w:color w:val="000000"/>
          <w:sz w:val="16"/>
          <w:szCs w:val="16"/>
          <w:lang w:val="en-GB"/>
        </w:rPr>
        <w:t>Your ref., Your message of</w:t>
      </w:r>
      <w:r w:rsidRPr="00C21BF0">
        <w:rPr>
          <w:color w:val="000000"/>
          <w:sz w:val="16"/>
          <w:szCs w:val="16"/>
          <w:lang w:val="en-GB"/>
        </w:rPr>
        <w:tab/>
      </w:r>
      <w:r w:rsidRPr="00C21BF0">
        <w:rPr>
          <w:noProof/>
          <w:color w:val="000000"/>
          <w:sz w:val="16"/>
          <w:szCs w:val="16"/>
          <w:lang w:val="en-GB"/>
        </w:rPr>
        <w:t>Our ref., person in charge</w:t>
      </w:r>
      <w:r w:rsidRPr="00C21BF0">
        <w:rPr>
          <w:color w:val="000000"/>
          <w:sz w:val="16"/>
          <w:szCs w:val="16"/>
          <w:lang w:val="en-GB"/>
        </w:rPr>
        <w:tab/>
      </w:r>
      <w:r w:rsidRPr="00C21BF0">
        <w:rPr>
          <w:noProof/>
          <w:color w:val="000000"/>
          <w:sz w:val="16"/>
          <w:szCs w:val="16"/>
          <w:lang w:val="en-GB"/>
        </w:rPr>
        <w:t>Extension</w:t>
      </w:r>
      <w:r w:rsidRPr="00C21BF0">
        <w:rPr>
          <w:color w:val="000000"/>
          <w:sz w:val="16"/>
          <w:szCs w:val="16"/>
          <w:lang w:val="en-GB"/>
        </w:rPr>
        <w:tab/>
      </w:r>
      <w:r w:rsidRPr="00C21BF0">
        <w:rPr>
          <w:noProof/>
          <w:color w:val="000000"/>
          <w:sz w:val="16"/>
          <w:szCs w:val="16"/>
          <w:lang w:val="en-GB"/>
        </w:rPr>
        <w:t>Date</w:t>
      </w:r>
    </w:p>
    <w:p w14:paraId="27997240" w14:textId="71FA4B12" w:rsidR="00642235" w:rsidRPr="00DC0A36" w:rsidRDefault="00642235" w:rsidP="00CE5D6F">
      <w:pPr>
        <w:tabs>
          <w:tab w:val="left" w:pos="2892"/>
          <w:tab w:val="left" w:pos="5783"/>
          <w:tab w:val="left" w:pos="7655"/>
        </w:tabs>
        <w:rPr>
          <w:color w:val="000000"/>
          <w:lang w:val="en-GB"/>
        </w:rPr>
      </w:pPr>
      <w:r w:rsidRPr="00C21BF0">
        <w:rPr>
          <w:color w:val="000000"/>
          <w:lang w:val="en-GB"/>
        </w:rPr>
        <w:tab/>
      </w:r>
      <w:r w:rsidRPr="00DC0A36">
        <w:rPr>
          <w:noProof/>
          <w:color w:val="000000"/>
          <w:lang w:val="en-GB"/>
        </w:rPr>
        <w:t>BSBV</w:t>
      </w:r>
      <w:r w:rsidR="00CE5D6F">
        <w:rPr>
          <w:noProof/>
          <w:color w:val="000000"/>
          <w:lang w:val="en-GB"/>
        </w:rPr>
        <w:t xml:space="preserve"> </w:t>
      </w:r>
      <w:r w:rsidR="00DB34E3">
        <w:rPr>
          <w:noProof/>
          <w:color w:val="000000"/>
          <w:lang w:val="en-GB"/>
        </w:rPr>
        <w:t>115</w:t>
      </w:r>
      <w:r w:rsidR="00641DC4" w:rsidRPr="00DC0A36">
        <w:rPr>
          <w:noProof/>
          <w:color w:val="000000"/>
          <w:lang w:val="en-GB"/>
        </w:rPr>
        <w:t>/</w:t>
      </w:r>
      <w:r w:rsidR="00DB34E3">
        <w:rPr>
          <w:noProof/>
          <w:color w:val="000000"/>
          <w:lang w:val="en-GB"/>
        </w:rPr>
        <w:t>Dr. Egger</w:t>
      </w:r>
      <w:r w:rsidR="00641DC4" w:rsidRPr="00DC0A36">
        <w:rPr>
          <w:noProof/>
          <w:color w:val="000000"/>
          <w:lang w:val="en-GB"/>
        </w:rPr>
        <w:tab/>
        <w:t>31</w:t>
      </w:r>
      <w:r w:rsidR="00DB34E3">
        <w:rPr>
          <w:noProof/>
          <w:color w:val="000000"/>
          <w:lang w:val="en-GB"/>
        </w:rPr>
        <w:t>37</w:t>
      </w:r>
      <w:r w:rsidRPr="00DC0A36">
        <w:rPr>
          <w:color w:val="000000"/>
          <w:lang w:val="en-GB"/>
        </w:rPr>
        <w:tab/>
      </w:r>
      <w:r w:rsidR="005966DB">
        <w:rPr>
          <w:color w:val="000000"/>
          <w:lang w:val="en-GB"/>
        </w:rPr>
        <w:t>29 January 2021</w:t>
      </w:r>
    </w:p>
    <w:p w14:paraId="44C0D83E" w14:textId="77777777" w:rsidR="00E754C8" w:rsidRDefault="00E754C8" w:rsidP="00CE5D6F">
      <w:pPr>
        <w:rPr>
          <w:color w:val="000000"/>
          <w:sz w:val="24"/>
          <w:szCs w:val="24"/>
          <w:lang w:val="en-GB"/>
        </w:rPr>
      </w:pPr>
    </w:p>
    <w:p w14:paraId="353497F1" w14:textId="77777777" w:rsidR="00A82C13" w:rsidRPr="00DC0A36" w:rsidRDefault="00A82C13" w:rsidP="009B3CDE">
      <w:pPr>
        <w:spacing w:line="240" w:lineRule="auto"/>
        <w:rPr>
          <w:color w:val="000000"/>
          <w:sz w:val="24"/>
          <w:szCs w:val="24"/>
          <w:lang w:val="en-GB"/>
        </w:rPr>
      </w:pPr>
    </w:p>
    <w:p w14:paraId="3DB5D516" w14:textId="77777777" w:rsidR="00DB34E3" w:rsidRPr="00DB34E3" w:rsidRDefault="00DB34E3" w:rsidP="009B3CDE">
      <w:pPr>
        <w:spacing w:line="240" w:lineRule="auto"/>
        <w:rPr>
          <w:rFonts w:cs="Calibri"/>
          <w:lang w:val="en-US"/>
        </w:rPr>
      </w:pPr>
      <w:r w:rsidRPr="00DB34E3">
        <w:rPr>
          <w:rFonts w:cs="Calibri"/>
          <w:lang w:val="en-US"/>
        </w:rPr>
        <w:t>Dear Sir or Madam,</w:t>
      </w:r>
    </w:p>
    <w:p w14:paraId="03BC9359" w14:textId="77777777" w:rsidR="00DB34E3" w:rsidRDefault="00DB34E3" w:rsidP="009B3CDE">
      <w:pPr>
        <w:spacing w:line="240" w:lineRule="auto"/>
        <w:rPr>
          <w:rFonts w:cs="Calibri"/>
          <w:b/>
          <w:lang w:val="en-US"/>
        </w:rPr>
      </w:pPr>
    </w:p>
    <w:p w14:paraId="746D7573" w14:textId="298E8ED9" w:rsidR="00A43FAC" w:rsidRDefault="00DB34E3" w:rsidP="009B3CDE">
      <w:pPr>
        <w:spacing w:line="240" w:lineRule="auto"/>
        <w:rPr>
          <w:rFonts w:cs="Calibri"/>
          <w:b/>
          <w:lang w:val="en-US"/>
        </w:rPr>
      </w:pPr>
      <w:r>
        <w:rPr>
          <w:rFonts w:cs="Calibri"/>
          <w:b/>
          <w:lang w:val="en-US"/>
        </w:rPr>
        <w:t xml:space="preserve">Re: </w:t>
      </w:r>
      <w:r w:rsidR="001E1448" w:rsidRPr="001E1448">
        <w:rPr>
          <w:rFonts w:cs="Calibri"/>
          <w:b/>
          <w:u w:val="single"/>
          <w:lang w:val="en-US"/>
        </w:rPr>
        <w:t>EBA Draft Guidelines on sound remuneration policies under Directive 2013/36/EU</w:t>
      </w:r>
    </w:p>
    <w:p w14:paraId="263FBEDB" w14:textId="77777777" w:rsidR="00672B4F" w:rsidRPr="00A43FAC" w:rsidRDefault="00672B4F" w:rsidP="009B3CDE">
      <w:pPr>
        <w:spacing w:line="240" w:lineRule="auto"/>
        <w:rPr>
          <w:rFonts w:cs="Calibri"/>
          <w:lang w:val="en-US"/>
        </w:rPr>
      </w:pPr>
    </w:p>
    <w:p w14:paraId="25EC6BF6" w14:textId="70AB35E8" w:rsidR="005966DB" w:rsidRPr="00DA4E3C" w:rsidRDefault="00DB34E3" w:rsidP="009B3CDE">
      <w:pPr>
        <w:spacing w:line="240" w:lineRule="auto"/>
        <w:rPr>
          <w:rFonts w:cs="Calibri"/>
          <w:lang w:val="en-US"/>
        </w:rPr>
      </w:pPr>
      <w:r w:rsidRPr="00DA4E3C">
        <w:rPr>
          <w:rFonts w:cs="Calibri"/>
          <w:lang w:val="en-US"/>
        </w:rPr>
        <w:t xml:space="preserve">With regards to the above mentioned </w:t>
      </w:r>
      <w:proofErr w:type="gramStart"/>
      <w:r w:rsidRPr="00DA4E3C">
        <w:rPr>
          <w:rFonts w:cs="Calibri"/>
          <w:lang w:val="en-US"/>
        </w:rPr>
        <w:t>consultation</w:t>
      </w:r>
      <w:proofErr w:type="gramEnd"/>
      <w:r w:rsidRPr="00DA4E3C">
        <w:rPr>
          <w:rFonts w:cs="Calibri"/>
          <w:lang w:val="en-US"/>
        </w:rPr>
        <w:t xml:space="preserve"> we would like to submit the following comments</w:t>
      </w:r>
      <w:r w:rsidR="00DA4E3C" w:rsidRPr="00DA4E3C">
        <w:rPr>
          <w:rFonts w:cs="Calibri"/>
          <w:lang w:val="en-US"/>
        </w:rPr>
        <w:t xml:space="preserve"> on behalf of the Austrian banking industry</w:t>
      </w:r>
      <w:r w:rsidRPr="00DA4E3C">
        <w:rPr>
          <w:rFonts w:cs="Calibri"/>
          <w:lang w:val="en-US"/>
        </w:rPr>
        <w:t xml:space="preserve">: </w:t>
      </w:r>
    </w:p>
    <w:p w14:paraId="6AB379A6" w14:textId="77777777" w:rsidR="001E1448" w:rsidRPr="001E1448" w:rsidRDefault="001E1448" w:rsidP="001E1448">
      <w:pPr>
        <w:rPr>
          <w:lang w:val="en-GB"/>
        </w:rPr>
      </w:pPr>
    </w:p>
    <w:p w14:paraId="024EB91D" w14:textId="39734AE3" w:rsidR="001E1448" w:rsidRPr="001E1448" w:rsidRDefault="001E1448" w:rsidP="001E1448">
      <w:pPr>
        <w:rPr>
          <w:b/>
          <w:bCs/>
          <w:lang w:val="en-GB"/>
        </w:rPr>
      </w:pPr>
      <w:r>
        <w:rPr>
          <w:b/>
          <w:bCs/>
          <w:lang w:val="en-GB"/>
        </w:rPr>
        <w:t xml:space="preserve">● </w:t>
      </w:r>
      <w:r w:rsidRPr="001E1448">
        <w:rPr>
          <w:b/>
          <w:bCs/>
          <w:lang w:val="en-GB"/>
        </w:rPr>
        <w:t>Composition of the remuneration committee (Chapter 2.4.1)</w:t>
      </w:r>
    </w:p>
    <w:p w14:paraId="6D1A6562" w14:textId="56977AB8" w:rsidR="001E1448" w:rsidRDefault="001E1448" w:rsidP="001E1448">
      <w:pPr>
        <w:rPr>
          <w:lang w:val="en-GB"/>
        </w:rPr>
      </w:pPr>
      <w:r w:rsidRPr="001E1448">
        <w:rPr>
          <w:lang w:val="en-GB"/>
        </w:rPr>
        <w:t xml:space="preserve">According to </w:t>
      </w:r>
      <w:r w:rsidRPr="001E1448">
        <w:rPr>
          <w:b/>
          <w:bCs/>
          <w:lang w:val="en-GB"/>
        </w:rPr>
        <w:t>Para 55</w:t>
      </w:r>
      <w:r w:rsidRPr="001E1448">
        <w:rPr>
          <w:lang w:val="en-GB"/>
        </w:rPr>
        <w:t xml:space="preserve"> of the draft paper in G-SIIs und O-SIIs the remuneration committee should include </w:t>
      </w:r>
      <w:proofErr w:type="gramStart"/>
      <w:r w:rsidRPr="001E1448">
        <w:rPr>
          <w:lang w:val="en-GB"/>
        </w:rPr>
        <w:t>a majority of</w:t>
      </w:r>
      <w:proofErr w:type="gramEnd"/>
      <w:r w:rsidRPr="001E1448">
        <w:rPr>
          <w:lang w:val="en-GB"/>
        </w:rPr>
        <w:t xml:space="preserve"> members who are independent and be chaired by an independent member</w:t>
      </w:r>
      <w:r w:rsidRPr="001E1448">
        <w:rPr>
          <w:rStyle w:val="Funotenzeichen"/>
          <w:lang w:val="en-GB"/>
        </w:rPr>
        <w:footnoteReference w:id="1"/>
      </w:r>
      <w:r w:rsidRPr="001E1448">
        <w:rPr>
          <w:lang w:val="en-GB"/>
        </w:rPr>
        <w:t>.</w:t>
      </w:r>
      <w:r>
        <w:rPr>
          <w:lang w:val="en-GB"/>
        </w:rPr>
        <w:t xml:space="preserve"> </w:t>
      </w:r>
      <w:r w:rsidRPr="001E1448">
        <w:rPr>
          <w:lang w:val="en-GB"/>
        </w:rPr>
        <w:t xml:space="preserve">The relevant </w:t>
      </w:r>
      <w:r w:rsidRPr="001E1448">
        <w:rPr>
          <w:b/>
          <w:bCs/>
          <w:lang w:val="en-GB"/>
        </w:rPr>
        <w:t>Article 95(1) CRD in conjunction with Article 75(2) CRD</w:t>
      </w:r>
      <w:r w:rsidRPr="001E1448">
        <w:rPr>
          <w:lang w:val="en-GB"/>
        </w:rPr>
        <w:t xml:space="preserve"> do not provide a legal basis for such a composition requirement regarding the remuneration committee in systemically relevant institutions. Hence, EBA would </w:t>
      </w:r>
      <w:r w:rsidRPr="001E1448">
        <w:rPr>
          <w:b/>
          <w:bCs/>
          <w:lang w:val="en-GB"/>
        </w:rPr>
        <w:t>obviously go beyond its mandate</w:t>
      </w:r>
      <w:r w:rsidRPr="001E1448">
        <w:rPr>
          <w:lang w:val="en-GB"/>
        </w:rPr>
        <w:t xml:space="preserve"> when establishing further guidance and regulations on independent members in the remuneration committee in its final version of Guidelines on sound remuneration policies. </w:t>
      </w:r>
    </w:p>
    <w:p w14:paraId="3DCFC7AF" w14:textId="77777777" w:rsidR="001E1448" w:rsidRPr="001E1448" w:rsidRDefault="001E1448" w:rsidP="001E1448">
      <w:pPr>
        <w:rPr>
          <w:lang w:val="en-GB"/>
        </w:rPr>
      </w:pPr>
    </w:p>
    <w:p w14:paraId="28B0514C" w14:textId="672C659B" w:rsidR="001E1448" w:rsidRDefault="001E1448" w:rsidP="001E1448">
      <w:pPr>
        <w:rPr>
          <w:lang w:val="en-GB"/>
        </w:rPr>
      </w:pPr>
      <w:r w:rsidRPr="001E1448">
        <w:rPr>
          <w:lang w:val="en-GB"/>
        </w:rPr>
        <w:t xml:space="preserve">In addition, a reference of EBA in the Guidelines to the legal basis of </w:t>
      </w:r>
      <w:r w:rsidRPr="001E1448">
        <w:rPr>
          <w:b/>
          <w:bCs/>
          <w:lang w:val="en-GB"/>
        </w:rPr>
        <w:t>Article 74(3) CRD</w:t>
      </w:r>
      <w:r w:rsidRPr="001E1448">
        <w:rPr>
          <w:lang w:val="en-GB"/>
        </w:rPr>
        <w:t xml:space="preserve"> according to which institutions shall have robust governance arrangements cannot justify every single exceedance of a legally limited mandate. </w:t>
      </w:r>
    </w:p>
    <w:p w14:paraId="2D42CDC4" w14:textId="77777777" w:rsidR="001E1448" w:rsidRPr="001E1448" w:rsidRDefault="001E1448" w:rsidP="001E1448">
      <w:pPr>
        <w:rPr>
          <w:lang w:val="en-GB"/>
        </w:rPr>
      </w:pPr>
    </w:p>
    <w:p w14:paraId="0F2B8B48" w14:textId="53A602E7" w:rsidR="001E1448" w:rsidRPr="001E1448" w:rsidRDefault="001E1448" w:rsidP="001E1448">
      <w:pPr>
        <w:rPr>
          <w:lang w:val="en-GB"/>
        </w:rPr>
      </w:pPr>
      <w:r w:rsidRPr="001E1448">
        <w:rPr>
          <w:lang w:val="en-GB"/>
        </w:rPr>
        <w:t xml:space="preserve">Moreover, according to </w:t>
      </w:r>
      <w:r w:rsidRPr="001E1448">
        <w:rPr>
          <w:b/>
          <w:bCs/>
          <w:lang w:val="en-GB"/>
        </w:rPr>
        <w:t>Article 16(1) EBA Regulation</w:t>
      </w:r>
      <w:r w:rsidRPr="001E1448">
        <w:rPr>
          <w:lang w:val="en-GB"/>
        </w:rPr>
        <w:t xml:space="preserve">, EBA shall issue guidelines “with a view to establishing consistent, efficient and effective supervisory practices within the ESFS, and to ensuring the common, uniform and consistent application of Union law”. Experience has shown that the Member States have implemented the requirements regarding independence in completely different ways, it is not very useful to require </w:t>
      </w:r>
      <w:proofErr w:type="gramStart"/>
      <w:r w:rsidRPr="001E1448">
        <w:rPr>
          <w:lang w:val="en-GB"/>
        </w:rPr>
        <w:t>a majority of</w:t>
      </w:r>
      <w:proofErr w:type="gramEnd"/>
      <w:r w:rsidRPr="001E1448">
        <w:rPr>
          <w:lang w:val="en-GB"/>
        </w:rPr>
        <w:t xml:space="preserve"> independent members for the remuneration committee. This is because these requirements will at best lead to further legal fragmentation instead of harmonisation as Article 16</w:t>
      </w:r>
      <w:r>
        <w:rPr>
          <w:lang w:val="en-GB"/>
        </w:rPr>
        <w:t xml:space="preserve"> </w:t>
      </w:r>
      <w:r w:rsidRPr="001E1448">
        <w:rPr>
          <w:lang w:val="en-GB"/>
        </w:rPr>
        <w:t>(1) EBA</w:t>
      </w:r>
      <w:r>
        <w:rPr>
          <w:lang w:val="en-GB"/>
        </w:rPr>
        <w:t>-</w:t>
      </w:r>
      <w:r w:rsidRPr="001E1448">
        <w:rPr>
          <w:lang w:val="en-GB"/>
        </w:rPr>
        <w:t xml:space="preserve">Regulation is aiming at. </w:t>
      </w:r>
    </w:p>
    <w:p w14:paraId="148B0540" w14:textId="22CA3522" w:rsidR="001E1448" w:rsidRDefault="001E1448" w:rsidP="001E1448">
      <w:pPr>
        <w:rPr>
          <w:lang w:val="en-GB"/>
        </w:rPr>
      </w:pPr>
      <w:r w:rsidRPr="001E1448">
        <w:rPr>
          <w:lang w:val="en-GB"/>
        </w:rPr>
        <w:lastRenderedPageBreak/>
        <w:t xml:space="preserve">If the remuneration committee shall be constituted in a way that it must be chaired by an independent member, a competent and independent judgment on remuneration policies and practices and the incentives created for managing risk, </w:t>
      </w:r>
      <w:proofErr w:type="gramStart"/>
      <w:r w:rsidRPr="001E1448">
        <w:rPr>
          <w:lang w:val="en-GB"/>
        </w:rPr>
        <w:t>capital</w:t>
      </w:r>
      <w:proofErr w:type="gramEnd"/>
      <w:r w:rsidRPr="001E1448">
        <w:rPr>
          <w:lang w:val="en-GB"/>
        </w:rPr>
        <w:t xml:space="preserve"> and liquidity in the sense of Article 95(1) CRD will be ensured for all significant institutions. </w:t>
      </w:r>
    </w:p>
    <w:p w14:paraId="42650B54" w14:textId="77777777" w:rsidR="001E1448" w:rsidRPr="001E1448" w:rsidRDefault="001E1448" w:rsidP="001E1448">
      <w:pPr>
        <w:rPr>
          <w:lang w:val="en-GB"/>
        </w:rPr>
      </w:pPr>
    </w:p>
    <w:p w14:paraId="345535A7" w14:textId="39707546" w:rsidR="001E1448" w:rsidRPr="001E1448" w:rsidRDefault="001E1448" w:rsidP="001E1448">
      <w:pPr>
        <w:rPr>
          <w:b/>
          <w:bCs/>
          <w:lang w:val="en-GB"/>
        </w:rPr>
      </w:pPr>
      <w:r w:rsidRPr="001E1448">
        <w:rPr>
          <w:b/>
          <w:bCs/>
          <w:lang w:val="en-GB"/>
        </w:rPr>
        <w:t xml:space="preserve">In conclusion, apart from the lack of a legal basis in CRD for imposing the proposed provisions for the composition of the remuneration committee there’s also no evidence-based need to change the legal status quo. </w:t>
      </w:r>
    </w:p>
    <w:p w14:paraId="2ADADE38" w14:textId="77777777" w:rsidR="001E1448" w:rsidRDefault="001E1448" w:rsidP="001E1448">
      <w:pPr>
        <w:rPr>
          <w:b/>
          <w:bCs/>
          <w:u w:val="single"/>
          <w:lang w:val="en-GB"/>
        </w:rPr>
      </w:pPr>
    </w:p>
    <w:p w14:paraId="43F8137F" w14:textId="0955450B" w:rsidR="001E1448" w:rsidRPr="001E1448" w:rsidRDefault="001E1448" w:rsidP="001E1448">
      <w:pPr>
        <w:rPr>
          <w:b/>
          <w:bCs/>
          <w:lang w:val="en-GB"/>
        </w:rPr>
      </w:pPr>
      <w:r>
        <w:rPr>
          <w:b/>
          <w:bCs/>
          <w:lang w:val="en-GB"/>
        </w:rPr>
        <w:t>●</w:t>
      </w:r>
      <w:r>
        <w:rPr>
          <w:b/>
          <w:bCs/>
          <w:lang w:val="en-GB"/>
        </w:rPr>
        <w:t xml:space="preserve"> </w:t>
      </w:r>
      <w:r w:rsidRPr="001E1448">
        <w:rPr>
          <w:b/>
          <w:bCs/>
          <w:lang w:val="en-GB"/>
        </w:rPr>
        <w:t>Date of application</w:t>
      </w:r>
    </w:p>
    <w:p w14:paraId="1F10C216" w14:textId="068FEC28" w:rsidR="001E1448" w:rsidRPr="001E1448" w:rsidRDefault="001E1448" w:rsidP="001E1448">
      <w:pPr>
        <w:rPr>
          <w:lang w:val="en-GB"/>
        </w:rPr>
      </w:pPr>
      <w:r w:rsidRPr="001E1448">
        <w:rPr>
          <w:lang w:val="en-GB"/>
        </w:rPr>
        <w:t xml:space="preserve">According to </w:t>
      </w:r>
      <w:r w:rsidRPr="001E1448">
        <w:rPr>
          <w:b/>
          <w:bCs/>
          <w:lang w:val="en-GB"/>
        </w:rPr>
        <w:t>Para 12</w:t>
      </w:r>
      <w:r w:rsidRPr="001E1448">
        <w:rPr>
          <w:lang w:val="en-GB"/>
        </w:rPr>
        <w:t xml:space="preserve"> the adapted Guidelines shall apply from 26 June 2021. This proposed date of application is obviously </w:t>
      </w:r>
      <w:r w:rsidRPr="001E1448">
        <w:rPr>
          <w:b/>
          <w:bCs/>
          <w:lang w:val="en-GB"/>
        </w:rPr>
        <w:t xml:space="preserve">too ambitious </w:t>
      </w:r>
      <w:r w:rsidRPr="001E1448">
        <w:rPr>
          <w:lang w:val="en-GB"/>
        </w:rPr>
        <w:t xml:space="preserve">as the consultation </w:t>
      </w:r>
      <w:r>
        <w:rPr>
          <w:lang w:val="en-GB"/>
        </w:rPr>
        <w:t>runs</w:t>
      </w:r>
      <w:r w:rsidRPr="001E1448">
        <w:rPr>
          <w:lang w:val="en-GB"/>
        </w:rPr>
        <w:t xml:space="preserve"> until end of January 2021 and the final Guidelines can subsequently be expected in the first half of 2021 according to EBA. And it goes without saying that the institutions need an </w:t>
      </w:r>
      <w:r w:rsidRPr="001E1448">
        <w:rPr>
          <w:b/>
          <w:bCs/>
          <w:lang w:val="en-GB"/>
        </w:rPr>
        <w:t>appropriate timeframe for an internal implementation</w:t>
      </w:r>
      <w:r w:rsidRPr="001E1448">
        <w:rPr>
          <w:lang w:val="en-GB"/>
        </w:rPr>
        <w:t xml:space="preserve"> of the new requirements </w:t>
      </w:r>
      <w:proofErr w:type="gramStart"/>
      <w:r w:rsidRPr="001E1448">
        <w:rPr>
          <w:lang w:val="en-GB"/>
        </w:rPr>
        <w:t>on the basis of</w:t>
      </w:r>
      <w:proofErr w:type="gramEnd"/>
      <w:r w:rsidRPr="001E1448">
        <w:rPr>
          <w:lang w:val="en-GB"/>
        </w:rPr>
        <w:t xml:space="preserve"> the revised Guidelines. This is particularly true in the context of the current COVID-19 crisis. </w:t>
      </w:r>
    </w:p>
    <w:p w14:paraId="60F27C63" w14:textId="77777777" w:rsidR="001E1448" w:rsidRPr="001E1448" w:rsidRDefault="001E1448" w:rsidP="001E1448">
      <w:pPr>
        <w:rPr>
          <w:lang w:val="en-GB"/>
        </w:rPr>
      </w:pPr>
      <w:r w:rsidRPr="001E1448">
        <w:rPr>
          <w:lang w:val="en-GB"/>
        </w:rPr>
        <w:t>Hence, the date of application should be set</w:t>
      </w:r>
      <w:r w:rsidRPr="001E1448">
        <w:rPr>
          <w:b/>
          <w:bCs/>
          <w:lang w:val="en-GB"/>
        </w:rPr>
        <w:t xml:space="preserve"> at least six months after the translation </w:t>
      </w:r>
      <w:r w:rsidRPr="001E1448">
        <w:rPr>
          <w:lang w:val="en-GB"/>
        </w:rPr>
        <w:t>of the Guidelines in all official languages of the EU.</w:t>
      </w:r>
    </w:p>
    <w:p w14:paraId="519ADD39" w14:textId="77777777" w:rsidR="001E1448" w:rsidRPr="001E1448" w:rsidRDefault="001E1448" w:rsidP="001E1448">
      <w:pPr>
        <w:rPr>
          <w:lang w:val="en-GB"/>
        </w:rPr>
      </w:pPr>
    </w:p>
    <w:p w14:paraId="3D25A5D4" w14:textId="0642F6DC" w:rsidR="001E1448" w:rsidRPr="001E1448" w:rsidRDefault="001E1448" w:rsidP="001E1448">
      <w:pPr>
        <w:rPr>
          <w:lang w:val="en-US"/>
        </w:rPr>
      </w:pPr>
      <w:r>
        <w:rPr>
          <w:b/>
          <w:bCs/>
          <w:lang w:val="en-GB"/>
        </w:rPr>
        <w:t>●</w:t>
      </w:r>
      <w:r>
        <w:rPr>
          <w:b/>
          <w:bCs/>
          <w:lang w:val="en-GB"/>
        </w:rPr>
        <w:t xml:space="preserve"> </w:t>
      </w:r>
      <w:r w:rsidRPr="001E1448">
        <w:rPr>
          <w:b/>
          <w:bCs/>
          <w:lang w:val="en-US"/>
        </w:rPr>
        <w:t>Rz 23 Gender neutral remuneration policies</w:t>
      </w:r>
    </w:p>
    <w:p w14:paraId="685792DA" w14:textId="77777777" w:rsidR="001E1448" w:rsidRPr="001E1448" w:rsidRDefault="001E1448" w:rsidP="001E1448">
      <w:pPr>
        <w:rPr>
          <w:lang w:val="en-US"/>
        </w:rPr>
      </w:pPr>
      <w:r w:rsidRPr="001E1448">
        <w:rPr>
          <w:lang w:val="en-US"/>
        </w:rPr>
        <w:t xml:space="preserve">Article 74 CRD V requires a "gender neutral" remuneration policy, which is defined as remuneration principles based on "equal pay". In this context, it is unclear why EBA refers to career development and succession plans, access to training and ability to apply for internal vacancies, as those are not </w:t>
      </w:r>
      <w:proofErr w:type="gramStart"/>
      <w:r w:rsidRPr="001E1448">
        <w:rPr>
          <w:lang w:val="en-US"/>
        </w:rPr>
        <w:t>remuneration-related</w:t>
      </w:r>
      <w:proofErr w:type="gramEnd"/>
      <w:r w:rsidRPr="001E1448">
        <w:rPr>
          <w:lang w:val="en-US"/>
        </w:rPr>
        <w:t>.</w:t>
      </w:r>
    </w:p>
    <w:p w14:paraId="02A99110" w14:textId="77777777" w:rsidR="001E1448" w:rsidRPr="001E1448" w:rsidRDefault="001E1448" w:rsidP="001E1448">
      <w:pPr>
        <w:rPr>
          <w:lang w:val="en-US"/>
        </w:rPr>
      </w:pPr>
    </w:p>
    <w:p w14:paraId="3E2EBA73" w14:textId="52051217" w:rsidR="001E1448" w:rsidRPr="001E1448" w:rsidRDefault="001E1448" w:rsidP="001E1448">
      <w:pPr>
        <w:rPr>
          <w:b/>
          <w:bCs/>
          <w:lang w:val="en-US"/>
        </w:rPr>
      </w:pPr>
      <w:r>
        <w:rPr>
          <w:b/>
          <w:bCs/>
          <w:lang w:val="en-GB"/>
        </w:rPr>
        <w:t>●</w:t>
      </w:r>
      <w:r>
        <w:rPr>
          <w:b/>
          <w:bCs/>
          <w:lang w:val="en-GB"/>
        </w:rPr>
        <w:t xml:space="preserve"> </w:t>
      </w:r>
      <w:r w:rsidRPr="001E1448">
        <w:rPr>
          <w:b/>
          <w:bCs/>
          <w:lang w:val="en-US"/>
        </w:rPr>
        <w:t>Rz 46 Shareholders involvement</w:t>
      </w:r>
    </w:p>
    <w:p w14:paraId="21B3AAFE" w14:textId="77777777" w:rsidR="001E1448" w:rsidRPr="001E1448" w:rsidRDefault="001E1448" w:rsidP="001E1448">
      <w:pPr>
        <w:rPr>
          <w:lang w:val="en-US"/>
        </w:rPr>
      </w:pPr>
      <w:r w:rsidRPr="001E1448">
        <w:rPr>
          <w:lang w:val="en-US"/>
        </w:rPr>
        <w:t>Credit institutions that are subject to the information and reporting regime of the Shareholder´s rights directive relating to approval of remuneration policy and remuneration report should be excluded from the reporting requirements provided for in par. 46 to avoid conflict of rules and enhance clarity.</w:t>
      </w:r>
    </w:p>
    <w:p w14:paraId="04B39B42" w14:textId="77777777" w:rsidR="001E1448" w:rsidRPr="001E1448" w:rsidRDefault="001E1448" w:rsidP="001E1448">
      <w:pPr>
        <w:rPr>
          <w:lang w:val="en-US"/>
        </w:rPr>
      </w:pPr>
    </w:p>
    <w:p w14:paraId="7957E34D" w14:textId="6CBB3746" w:rsidR="001E1448" w:rsidRPr="001E1448" w:rsidRDefault="001E1448" w:rsidP="001E1448">
      <w:pPr>
        <w:rPr>
          <w:lang w:val="en-US"/>
        </w:rPr>
      </w:pPr>
      <w:r>
        <w:rPr>
          <w:b/>
          <w:bCs/>
          <w:lang w:val="en-GB"/>
        </w:rPr>
        <w:t>●</w:t>
      </w:r>
      <w:r>
        <w:rPr>
          <w:b/>
          <w:bCs/>
          <w:lang w:val="en-GB"/>
        </w:rPr>
        <w:t xml:space="preserve"> </w:t>
      </w:r>
      <w:r w:rsidRPr="001E1448">
        <w:rPr>
          <w:b/>
          <w:bCs/>
          <w:lang w:val="en-US"/>
        </w:rPr>
        <w:t>RZ 94 Waivers of variable remuneration pay-out process</w:t>
      </w:r>
      <w:r w:rsidRPr="001E1448">
        <w:rPr>
          <w:lang w:val="en-US"/>
        </w:rPr>
        <w:t xml:space="preserve"> </w:t>
      </w:r>
    </w:p>
    <w:p w14:paraId="78FE6E0F" w14:textId="77777777" w:rsidR="001E1448" w:rsidRDefault="001E1448" w:rsidP="001E1448">
      <w:pPr>
        <w:rPr>
          <w:lang w:val="en-US"/>
        </w:rPr>
      </w:pPr>
      <w:r w:rsidRPr="001E1448">
        <w:rPr>
          <w:lang w:val="en-US"/>
        </w:rPr>
        <w:t>Lit 94 c): For variable remuneration relating to multi-year performance or periods</w:t>
      </w:r>
      <w:r>
        <w:rPr>
          <w:lang w:val="en-US"/>
        </w:rPr>
        <w:t>,</w:t>
      </w:r>
      <w:r w:rsidRPr="001E1448">
        <w:rPr>
          <w:lang w:val="en-US"/>
        </w:rPr>
        <w:t xml:space="preserve"> a pro-rata allocation should be possible.</w:t>
      </w:r>
    </w:p>
    <w:p w14:paraId="3BB8073F" w14:textId="53D13B1F" w:rsidR="001E1448" w:rsidRPr="001E1448" w:rsidRDefault="001E1448" w:rsidP="001E1448">
      <w:pPr>
        <w:rPr>
          <w:lang w:val="en-US"/>
        </w:rPr>
      </w:pPr>
      <w:r w:rsidRPr="001E1448">
        <w:rPr>
          <w:lang w:val="en-US"/>
        </w:rPr>
        <w:t xml:space="preserve">Lit 94d: </w:t>
      </w:r>
      <w:r>
        <w:rPr>
          <w:lang w:val="en-US"/>
        </w:rPr>
        <w:t>Please add a</w:t>
      </w:r>
      <w:r w:rsidRPr="001E1448">
        <w:rPr>
          <w:lang w:val="en-US"/>
        </w:rPr>
        <w:t xml:space="preserve"> clarification that severance payments, which are not subject to the bonus cap and the deferral and payment in instruments requirement according to par. 170 of the EBA are not taken into consideration.</w:t>
      </w:r>
    </w:p>
    <w:p w14:paraId="1DFAC28C" w14:textId="77777777" w:rsidR="001E1448" w:rsidRPr="001E1448" w:rsidRDefault="001E1448" w:rsidP="001E1448">
      <w:pPr>
        <w:rPr>
          <w:lang w:val="en-US"/>
        </w:rPr>
      </w:pPr>
    </w:p>
    <w:p w14:paraId="3806335A" w14:textId="7C6EF1B1" w:rsidR="001E1448" w:rsidRPr="001E1448" w:rsidRDefault="001E1448" w:rsidP="001E1448">
      <w:pPr>
        <w:rPr>
          <w:b/>
          <w:bCs/>
          <w:lang w:val="en-US"/>
        </w:rPr>
      </w:pPr>
      <w:r>
        <w:rPr>
          <w:b/>
          <w:bCs/>
          <w:lang w:val="en-GB"/>
        </w:rPr>
        <w:t>●</w:t>
      </w:r>
      <w:r>
        <w:rPr>
          <w:b/>
          <w:bCs/>
          <w:lang w:val="en-GB"/>
        </w:rPr>
        <w:t xml:space="preserve"> </w:t>
      </w:r>
      <w:r w:rsidRPr="001E1448">
        <w:rPr>
          <w:b/>
          <w:bCs/>
          <w:lang w:val="en-US"/>
        </w:rPr>
        <w:t xml:space="preserve">RZ 145 Retention Bonus (no pro-rata payment): </w:t>
      </w:r>
    </w:p>
    <w:p w14:paraId="60ECC9E7" w14:textId="77777777" w:rsidR="001E1448" w:rsidRPr="001E1448" w:rsidRDefault="001E1448" w:rsidP="001E1448">
      <w:pPr>
        <w:rPr>
          <w:lang w:val="en-US"/>
        </w:rPr>
      </w:pPr>
      <w:r w:rsidRPr="001E1448">
        <w:rPr>
          <w:lang w:val="en-US"/>
        </w:rPr>
        <w:t>Retention Bonuses are primarily used in cases where institutions are in difficult situations due to circumstances like tough market conditions or in cases of wind-down. In such cases it is especially important that key staff is kept motivated to help navigate the institution through tough times or to properly complete the wind-down process. Paying a retention bonus in full only after the retention period is concluded does not achieve that goal in our opinion. While we agree that a retention bonus should not be paid “up-front” we suggest a split where part of the retention bonus is paid to the eligible employees during the retention period while a significant amount will only be paid after the retention period is over (if all other conditions for allocating and paying the retention bonus are fulfilled), e.g. in a 2-year retention program: 30% of the retention bonus will be paid after the first year, 70% will be paid after the second year.</w:t>
      </w:r>
    </w:p>
    <w:p w14:paraId="770A8452" w14:textId="77777777" w:rsidR="001E1448" w:rsidRPr="001E1448" w:rsidRDefault="001E1448" w:rsidP="001E1448">
      <w:pPr>
        <w:rPr>
          <w:lang w:val="en-US"/>
        </w:rPr>
      </w:pPr>
    </w:p>
    <w:p w14:paraId="69834316" w14:textId="77777777" w:rsidR="001E1448" w:rsidRPr="001E1448" w:rsidRDefault="001E1448" w:rsidP="001E1448">
      <w:pPr>
        <w:rPr>
          <w:b/>
          <w:bCs/>
          <w:lang w:val="en-US"/>
        </w:rPr>
      </w:pPr>
      <w:r w:rsidRPr="001E1448">
        <w:rPr>
          <w:b/>
          <w:bCs/>
          <w:lang w:val="en-US"/>
        </w:rPr>
        <w:t>Rz 260 Deferral period:</w:t>
      </w:r>
    </w:p>
    <w:p w14:paraId="56612A03" w14:textId="77777777" w:rsidR="001E1448" w:rsidRDefault="001E1448" w:rsidP="001E1448">
      <w:pPr>
        <w:rPr>
          <w:lang w:val="en-US"/>
        </w:rPr>
      </w:pPr>
      <w:r w:rsidRPr="001E1448">
        <w:rPr>
          <w:lang w:val="en-US"/>
        </w:rPr>
        <w:t xml:space="preserve">The EBA GL require that Institutions should define what level of variable remuneration constitutes a particularly high amount, that in this context the ratio of fixed and variable remuneration should be considered and that when implementing the guidelines, competent authorities should set an absolute or relative threshold. </w:t>
      </w:r>
    </w:p>
    <w:p w14:paraId="4EF4B6F9" w14:textId="77777777" w:rsidR="001E1448" w:rsidRDefault="001E1448" w:rsidP="001E1448">
      <w:pPr>
        <w:rPr>
          <w:lang w:val="en-US"/>
        </w:rPr>
      </w:pPr>
    </w:p>
    <w:p w14:paraId="6BB18239" w14:textId="68959EA9" w:rsidR="001E1448" w:rsidRPr="001E1448" w:rsidRDefault="001E1448" w:rsidP="001E1448">
      <w:pPr>
        <w:rPr>
          <w:lang w:val="en-US"/>
        </w:rPr>
      </w:pPr>
      <w:r w:rsidRPr="001E1448">
        <w:rPr>
          <w:lang w:val="en-US"/>
        </w:rPr>
        <w:t>We suggest deleting the reference to the relative threshold, as otherwise small amounts of variable remuneration could be subject to stricter rules (deferral of 60%), which seems excessive. Further, if a relative threshold would apply, employees with lower total variable remuneration (exceeding the relative threshold, but not the absolute amount), could be subject to stricter rules than employees with higher total variable remuneration (but lower relative ratio of fixed to variable).</w:t>
      </w:r>
    </w:p>
    <w:p w14:paraId="178A9438" w14:textId="77777777" w:rsidR="00672B4F" w:rsidRPr="001E1448" w:rsidRDefault="00672B4F" w:rsidP="001E1448">
      <w:pPr>
        <w:spacing w:line="240" w:lineRule="auto"/>
        <w:rPr>
          <w:lang w:val="en-US"/>
        </w:rPr>
      </w:pPr>
    </w:p>
    <w:p w14:paraId="79AA62ED" w14:textId="77777777" w:rsidR="005966DB" w:rsidRPr="001E1448" w:rsidRDefault="005966DB" w:rsidP="001E1448">
      <w:pPr>
        <w:spacing w:line="240" w:lineRule="auto"/>
        <w:rPr>
          <w:b/>
          <w:i/>
          <w:lang w:val="en-US"/>
        </w:rPr>
      </w:pPr>
    </w:p>
    <w:p w14:paraId="7815ABDB" w14:textId="77777777" w:rsidR="00C84D8A" w:rsidRPr="001E1448" w:rsidRDefault="00686189" w:rsidP="001E1448">
      <w:pPr>
        <w:spacing w:line="240" w:lineRule="auto"/>
        <w:rPr>
          <w:rFonts w:cs="Arial"/>
          <w:color w:val="000000"/>
          <w:lang w:val="en-GB" w:eastAsia="en-US"/>
        </w:rPr>
      </w:pPr>
      <w:r w:rsidRPr="001E1448">
        <w:rPr>
          <w:rFonts w:cs="Arial"/>
          <w:color w:val="000000"/>
          <w:lang w:val="en-GB" w:eastAsia="en-US"/>
        </w:rPr>
        <w:t>Y</w:t>
      </w:r>
      <w:r w:rsidR="00C84D8A" w:rsidRPr="001E1448">
        <w:rPr>
          <w:rFonts w:cs="Arial"/>
          <w:color w:val="000000"/>
          <w:lang w:val="en-GB" w:eastAsia="en-US"/>
        </w:rPr>
        <w:t xml:space="preserve">ours </w:t>
      </w:r>
      <w:r w:rsidR="004A01A9" w:rsidRPr="001E1448">
        <w:rPr>
          <w:rFonts w:cs="Arial"/>
          <w:color w:val="000000"/>
          <w:lang w:val="en-GB" w:eastAsia="en-US"/>
        </w:rPr>
        <w:t>sincerely</w:t>
      </w:r>
      <w:r w:rsidR="00C84D8A" w:rsidRPr="001E1448">
        <w:rPr>
          <w:rFonts w:cs="Arial"/>
          <w:color w:val="000000"/>
          <w:lang w:val="en-GB" w:eastAsia="en-US"/>
        </w:rPr>
        <w:t>,</w:t>
      </w:r>
    </w:p>
    <w:p w14:paraId="726EDC14" w14:textId="77777777" w:rsidR="00F31CB0" w:rsidRPr="001E1448" w:rsidRDefault="00F31CB0" w:rsidP="001E1448">
      <w:pPr>
        <w:spacing w:line="240" w:lineRule="auto"/>
        <w:rPr>
          <w:rFonts w:cs="Arial"/>
          <w:color w:val="000000"/>
          <w:lang w:val="en-GB" w:eastAsia="en-US"/>
        </w:rPr>
      </w:pPr>
    </w:p>
    <w:p w14:paraId="21FDDE48" w14:textId="77777777" w:rsidR="00C84D8A" w:rsidRPr="001E1448" w:rsidRDefault="00C84D8A" w:rsidP="009B3CDE">
      <w:pPr>
        <w:spacing w:line="240" w:lineRule="auto"/>
        <w:rPr>
          <w:rFonts w:cs="Arial"/>
          <w:color w:val="000000"/>
          <w:lang w:val="en-GB" w:eastAsia="en-US"/>
        </w:rPr>
      </w:pPr>
      <w:proofErr w:type="spellStart"/>
      <w:r w:rsidRPr="001E1448">
        <w:rPr>
          <w:rFonts w:cs="Arial"/>
          <w:color w:val="000000"/>
          <w:lang w:val="en-GB" w:eastAsia="en-US"/>
        </w:rPr>
        <w:t>Dr.</w:t>
      </w:r>
      <w:proofErr w:type="spellEnd"/>
      <w:r w:rsidRPr="001E1448">
        <w:rPr>
          <w:rFonts w:cs="Arial"/>
          <w:color w:val="000000"/>
          <w:lang w:val="en-GB" w:eastAsia="en-US"/>
        </w:rPr>
        <w:t xml:space="preserve"> Franz Rudorfer</w:t>
      </w:r>
    </w:p>
    <w:p w14:paraId="2345431B" w14:textId="77777777" w:rsidR="00C84D8A" w:rsidRPr="001E1448" w:rsidRDefault="00C84D8A" w:rsidP="009B3CDE">
      <w:pPr>
        <w:spacing w:line="240" w:lineRule="auto"/>
        <w:rPr>
          <w:rFonts w:cs="Arial"/>
          <w:color w:val="000000"/>
          <w:lang w:val="en-GB" w:eastAsia="en-US"/>
        </w:rPr>
      </w:pPr>
      <w:r w:rsidRPr="001E1448">
        <w:rPr>
          <w:rFonts w:cs="Arial"/>
          <w:color w:val="000000"/>
          <w:lang w:val="en-GB" w:eastAsia="en-US"/>
        </w:rPr>
        <w:t>Managing Director</w:t>
      </w:r>
    </w:p>
    <w:p w14:paraId="332C1935" w14:textId="77777777" w:rsidR="005E1BA5" w:rsidRPr="001E1448" w:rsidRDefault="00C84D8A" w:rsidP="009B3CDE">
      <w:pPr>
        <w:spacing w:line="240" w:lineRule="auto"/>
        <w:rPr>
          <w:noProof/>
          <w:lang w:val="en-GB"/>
        </w:rPr>
      </w:pPr>
      <w:r w:rsidRPr="001E1448">
        <w:rPr>
          <w:rFonts w:cs="Arial"/>
          <w:color w:val="000000"/>
          <w:lang w:val="en-GB" w:eastAsia="en-US"/>
        </w:rPr>
        <w:t>Division Bank and Insurance</w:t>
      </w:r>
    </w:p>
    <w:p w14:paraId="3DCFDB26" w14:textId="77777777" w:rsidR="00346DF4" w:rsidRPr="001E1448" w:rsidRDefault="00346DF4" w:rsidP="00DB34E3">
      <w:pPr>
        <w:spacing w:line="240" w:lineRule="auto"/>
        <w:rPr>
          <w:noProof/>
          <w:lang w:val="en-GB"/>
        </w:rPr>
      </w:pPr>
    </w:p>
    <w:sectPr w:rsidR="00346DF4" w:rsidRPr="001E1448" w:rsidSect="00BA147F">
      <w:headerReference w:type="default" r:id="rId8"/>
      <w:headerReference w:type="first" r:id="rId9"/>
      <w:pgSz w:w="11906" w:h="16838"/>
      <w:pgMar w:top="1701" w:right="851" w:bottom="1276" w:left="1418"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2CB78" w14:textId="77777777" w:rsidR="003C7723" w:rsidRDefault="003C7723">
      <w:r>
        <w:separator/>
      </w:r>
    </w:p>
  </w:endnote>
  <w:endnote w:type="continuationSeparator" w:id="0">
    <w:p w14:paraId="0A60CC58" w14:textId="77777777" w:rsidR="003C7723" w:rsidRDefault="003C7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712ED" w14:textId="77777777" w:rsidR="003C7723" w:rsidRDefault="003C7723">
      <w:r>
        <w:separator/>
      </w:r>
    </w:p>
  </w:footnote>
  <w:footnote w:type="continuationSeparator" w:id="0">
    <w:p w14:paraId="6C6AAEAF" w14:textId="77777777" w:rsidR="003C7723" w:rsidRDefault="003C7723">
      <w:r>
        <w:continuationSeparator/>
      </w:r>
    </w:p>
  </w:footnote>
  <w:footnote w:id="1">
    <w:p w14:paraId="3D119964" w14:textId="77777777" w:rsidR="001E1448" w:rsidRPr="006E5E31" w:rsidRDefault="001E1448" w:rsidP="001E1448">
      <w:pPr>
        <w:pStyle w:val="Funotentext"/>
        <w:spacing w:line="240" w:lineRule="auto"/>
        <w:rPr>
          <w:lang w:val="en-GB"/>
        </w:rPr>
      </w:pPr>
      <w:r>
        <w:rPr>
          <w:rStyle w:val="Funotenzeichen"/>
        </w:rPr>
        <w:footnoteRef/>
      </w:r>
      <w:r w:rsidRPr="006E5E31">
        <w:rPr>
          <w:lang w:val="en-GB"/>
        </w:rPr>
        <w:t xml:space="preserve"> </w:t>
      </w:r>
      <w:r>
        <w:rPr>
          <w:lang w:val="en-GB"/>
        </w:rPr>
        <w:t>On this matter w</w:t>
      </w:r>
      <w:r w:rsidRPr="006E5E31">
        <w:rPr>
          <w:lang w:val="en-GB"/>
        </w:rPr>
        <w:t xml:space="preserve">e </w:t>
      </w:r>
      <w:r>
        <w:rPr>
          <w:lang w:val="en-GB"/>
        </w:rPr>
        <w:t>interpret the broad reference to ‘</w:t>
      </w:r>
      <w:r w:rsidRPr="00A44C73">
        <w:rPr>
          <w:b/>
          <w:bCs/>
          <w:lang w:val="en-GB"/>
        </w:rPr>
        <w:t>Independence</w:t>
      </w:r>
      <w:r w:rsidRPr="00571615">
        <w:rPr>
          <w:lang w:val="en-GB"/>
        </w:rPr>
        <w:t xml:space="preserve"> as set out in the EBA guidelines on internal governance and see also the joint EBA‐ESMA guidelines on</w:t>
      </w:r>
      <w:r>
        <w:rPr>
          <w:lang w:val="en-GB"/>
        </w:rPr>
        <w:t xml:space="preserve"> </w:t>
      </w:r>
      <w:r w:rsidRPr="00571615">
        <w:rPr>
          <w:lang w:val="en-GB"/>
        </w:rPr>
        <w:t>the assessment of the suitability of members of the management body and key function holders</w:t>
      </w:r>
      <w:r>
        <w:rPr>
          <w:lang w:val="en-GB"/>
        </w:rPr>
        <w:t xml:space="preserve">’ as set out in </w:t>
      </w:r>
      <w:r w:rsidRPr="00A44C73">
        <w:rPr>
          <w:b/>
          <w:bCs/>
          <w:lang w:val="en-GB"/>
        </w:rPr>
        <w:t>Foot</w:t>
      </w:r>
      <w:r>
        <w:rPr>
          <w:b/>
          <w:bCs/>
          <w:lang w:val="en-GB"/>
        </w:rPr>
        <w:t>note</w:t>
      </w:r>
      <w:r w:rsidRPr="00A44C73">
        <w:rPr>
          <w:b/>
          <w:bCs/>
          <w:lang w:val="en-GB"/>
        </w:rPr>
        <w:t xml:space="preserve"> 19</w:t>
      </w:r>
      <w:r w:rsidRPr="006E5E31">
        <w:rPr>
          <w:lang w:val="en-GB"/>
        </w:rPr>
        <w:t xml:space="preserve"> of the </w:t>
      </w:r>
      <w:r>
        <w:rPr>
          <w:lang w:val="en-GB"/>
        </w:rPr>
        <w:t xml:space="preserve">EBA draft in the sense that they have to </w:t>
      </w:r>
      <w:r w:rsidRPr="000A10D4">
        <w:rPr>
          <w:lang w:val="en-GB"/>
        </w:rPr>
        <w:t>be</w:t>
      </w:r>
      <w:r w:rsidRPr="000A10D4">
        <w:rPr>
          <w:b/>
          <w:bCs/>
          <w:lang w:val="en-GB"/>
        </w:rPr>
        <w:t xml:space="preserve"> independent of mind and formally independent</w:t>
      </w:r>
      <w:r>
        <w:rPr>
          <w:lang w:val="en-GB"/>
        </w:rPr>
        <w:t>.</w:t>
      </w:r>
    </w:p>
    <w:p w14:paraId="67366219" w14:textId="77777777" w:rsidR="001E1448" w:rsidRPr="006E5E31" w:rsidRDefault="001E1448" w:rsidP="001E1448">
      <w:pPr>
        <w:pStyle w:val="Funoten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E0042" w14:textId="77777777" w:rsidR="0014018E" w:rsidRDefault="0014018E">
    <w:pPr>
      <w:pStyle w:val="Kopfzeile"/>
      <w:jc w:val="center"/>
    </w:pPr>
    <w:r>
      <w:t xml:space="preserve">- </w:t>
    </w:r>
    <w:r w:rsidR="008D5D3B">
      <w:rPr>
        <w:rStyle w:val="Seitenzahl"/>
      </w:rPr>
      <w:fldChar w:fldCharType="begin"/>
    </w:r>
    <w:r>
      <w:rPr>
        <w:rStyle w:val="Seitenzahl"/>
      </w:rPr>
      <w:instrText xml:space="preserve"> PAGE </w:instrText>
    </w:r>
    <w:r w:rsidR="008D5D3B">
      <w:rPr>
        <w:rStyle w:val="Seitenzahl"/>
      </w:rPr>
      <w:fldChar w:fldCharType="separate"/>
    </w:r>
    <w:r w:rsidR="00672B4F">
      <w:rPr>
        <w:rStyle w:val="Seitenzahl"/>
        <w:noProof/>
      </w:rPr>
      <w:t>3</w:t>
    </w:r>
    <w:r w:rsidR="008D5D3B">
      <w:rPr>
        <w:rStyle w:val="Seitenzahl"/>
      </w:rPr>
      <w:fldChar w:fldCharType="end"/>
    </w:r>
    <w:r>
      <w:rPr>
        <w:rStyle w:val="Seitenzah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8183D" w14:textId="77777777" w:rsidR="0014018E" w:rsidRDefault="0014018E">
    <w:pPr>
      <w:pStyle w:val="Kopfzeile"/>
      <w:jc w:val="right"/>
    </w:pPr>
    <w:r>
      <w:rPr>
        <w:noProof/>
        <w:snapToGrid/>
        <w:lang w:val="de-AT"/>
      </w:rPr>
      <w:drawing>
        <wp:anchor distT="0" distB="0" distL="114300" distR="114300" simplePos="0" relativeHeight="251657728" behindDoc="0" locked="1" layoutInCell="0" allowOverlap="1" wp14:anchorId="1F6EA61F" wp14:editId="72E7A5E9">
          <wp:simplePos x="0" y="0"/>
          <wp:positionH relativeFrom="page">
            <wp:posOffset>4859655</wp:posOffset>
          </wp:positionH>
          <wp:positionV relativeFrom="page">
            <wp:posOffset>197485</wp:posOffset>
          </wp:positionV>
          <wp:extent cx="2210435" cy="861695"/>
          <wp:effectExtent l="19050" t="0" r="0" b="0"/>
          <wp:wrapTopAndBottom/>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10435" cy="8616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7379"/>
    <w:multiLevelType w:val="hybridMultilevel"/>
    <w:tmpl w:val="21AAB92E"/>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62F63C5"/>
    <w:multiLevelType w:val="hybridMultilevel"/>
    <w:tmpl w:val="758CF3B8"/>
    <w:lvl w:ilvl="0" w:tplc="42760B6C">
      <w:start w:val="1"/>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15:restartNumberingAfterBreak="0">
    <w:nsid w:val="0899192B"/>
    <w:multiLevelType w:val="hybridMultilevel"/>
    <w:tmpl w:val="56AC62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AF578A7"/>
    <w:multiLevelType w:val="hybridMultilevel"/>
    <w:tmpl w:val="A74EFC70"/>
    <w:lvl w:ilvl="0" w:tplc="719E4B78">
      <w:start w:val="1"/>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 w15:restartNumberingAfterBreak="0">
    <w:nsid w:val="0E8D70F6"/>
    <w:multiLevelType w:val="hybridMultilevel"/>
    <w:tmpl w:val="94E20B0E"/>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6417DDA"/>
    <w:multiLevelType w:val="hybridMultilevel"/>
    <w:tmpl w:val="CF98B738"/>
    <w:lvl w:ilvl="0" w:tplc="BDBEC92E">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6880E9B"/>
    <w:multiLevelType w:val="hybridMultilevel"/>
    <w:tmpl w:val="19B0B4CA"/>
    <w:lvl w:ilvl="0" w:tplc="1CD2FC34">
      <w:start w:val="1"/>
      <w:numFmt w:val="upperLetter"/>
      <w:lvlText w:val="%1."/>
      <w:lvlJc w:val="left"/>
      <w:pPr>
        <w:ind w:left="720" w:hanging="360"/>
      </w:pPr>
      <w:rPr>
        <w:rFonts w:ascii="Trebuchet MS" w:eastAsiaTheme="minorHAnsi" w:hAnsi="Trebuchet MS" w:cs="Arial" w:hint="default"/>
        <w:u w:val="single"/>
        <w:lang w:val="en-G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ABC437B"/>
    <w:multiLevelType w:val="hybridMultilevel"/>
    <w:tmpl w:val="034003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D003BED"/>
    <w:multiLevelType w:val="hybridMultilevel"/>
    <w:tmpl w:val="6A6293A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1EA979A8"/>
    <w:multiLevelType w:val="hybridMultilevel"/>
    <w:tmpl w:val="07A235E8"/>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1F4A23AD"/>
    <w:multiLevelType w:val="hybridMultilevel"/>
    <w:tmpl w:val="80B2B8BC"/>
    <w:lvl w:ilvl="0" w:tplc="2EFE1720">
      <w:start w:val="1"/>
      <w:numFmt w:val="bullet"/>
      <w:lvlText w:val="-"/>
      <w:lvlJc w:val="left"/>
      <w:pPr>
        <w:ind w:left="720" w:hanging="360"/>
      </w:pPr>
      <w:rPr>
        <w:rFonts w:ascii="Arial" w:eastAsia="Calibr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20510C88"/>
    <w:multiLevelType w:val="hybridMultilevel"/>
    <w:tmpl w:val="BAFAAA72"/>
    <w:lvl w:ilvl="0" w:tplc="2A10F854">
      <w:numFmt w:val="bullet"/>
      <w:lvlText w:val="-"/>
      <w:lvlJc w:val="left"/>
      <w:pPr>
        <w:ind w:left="360" w:hanging="360"/>
      </w:pPr>
      <w:rPr>
        <w:rFonts w:ascii="Arial" w:eastAsia="Times New Roman" w:hAnsi="Arial" w:cs="Times New Roman" w:hint="default"/>
      </w:rPr>
    </w:lvl>
    <w:lvl w:ilvl="1" w:tplc="0C070003">
      <w:start w:val="1"/>
      <w:numFmt w:val="bullet"/>
      <w:lvlText w:val="o"/>
      <w:lvlJc w:val="left"/>
      <w:pPr>
        <w:ind w:left="1080" w:hanging="360"/>
      </w:pPr>
      <w:rPr>
        <w:rFonts w:ascii="Courier New" w:hAnsi="Courier New" w:cs="Times New Roman"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Times New Roman"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Times New Roman" w:hint="default"/>
      </w:rPr>
    </w:lvl>
    <w:lvl w:ilvl="8" w:tplc="0C070005">
      <w:start w:val="1"/>
      <w:numFmt w:val="bullet"/>
      <w:lvlText w:val=""/>
      <w:lvlJc w:val="left"/>
      <w:pPr>
        <w:ind w:left="6120" w:hanging="360"/>
      </w:pPr>
      <w:rPr>
        <w:rFonts w:ascii="Wingdings" w:hAnsi="Wingdings" w:hint="default"/>
      </w:rPr>
    </w:lvl>
  </w:abstractNum>
  <w:abstractNum w:abstractNumId="12" w15:restartNumberingAfterBreak="0">
    <w:nsid w:val="21FB435A"/>
    <w:multiLevelType w:val="hybridMultilevel"/>
    <w:tmpl w:val="430A2FC0"/>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3" w15:restartNumberingAfterBreak="0">
    <w:nsid w:val="25920B5A"/>
    <w:multiLevelType w:val="hybridMultilevel"/>
    <w:tmpl w:val="458C926E"/>
    <w:lvl w:ilvl="0" w:tplc="15FEF840">
      <w:numFmt w:val="bullet"/>
      <w:lvlText w:val="-"/>
      <w:lvlJc w:val="left"/>
      <w:pPr>
        <w:ind w:left="1776" w:hanging="360"/>
      </w:pPr>
      <w:rPr>
        <w:rFonts w:ascii="Arial" w:eastAsia="Calibri" w:hAnsi="Arial" w:cs="Arial"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14" w15:restartNumberingAfterBreak="0">
    <w:nsid w:val="2E7B5DE9"/>
    <w:multiLevelType w:val="hybridMultilevel"/>
    <w:tmpl w:val="12188C80"/>
    <w:lvl w:ilvl="0" w:tplc="2A10F854">
      <w:numFmt w:val="bullet"/>
      <w:lvlText w:val="-"/>
      <w:lvlJc w:val="left"/>
      <w:pPr>
        <w:ind w:left="360" w:hanging="360"/>
      </w:pPr>
      <w:rPr>
        <w:rFonts w:ascii="Arial" w:eastAsia="Times New Roman" w:hAnsi="Arial" w:cs="Times New Roman" w:hint="default"/>
      </w:rPr>
    </w:lvl>
    <w:lvl w:ilvl="1" w:tplc="0C070003">
      <w:start w:val="1"/>
      <w:numFmt w:val="bullet"/>
      <w:lvlText w:val="o"/>
      <w:lvlJc w:val="left"/>
      <w:pPr>
        <w:ind w:left="1080" w:hanging="360"/>
      </w:pPr>
      <w:rPr>
        <w:rFonts w:ascii="Courier New" w:hAnsi="Courier New" w:cs="Times New Roman"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Times New Roman"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Times New Roman" w:hint="default"/>
      </w:rPr>
    </w:lvl>
    <w:lvl w:ilvl="8" w:tplc="0C070005">
      <w:start w:val="1"/>
      <w:numFmt w:val="bullet"/>
      <w:lvlText w:val=""/>
      <w:lvlJc w:val="left"/>
      <w:pPr>
        <w:ind w:left="6120" w:hanging="360"/>
      </w:pPr>
      <w:rPr>
        <w:rFonts w:ascii="Wingdings" w:hAnsi="Wingdings" w:hint="default"/>
      </w:rPr>
    </w:lvl>
  </w:abstractNum>
  <w:abstractNum w:abstractNumId="15" w15:restartNumberingAfterBreak="0">
    <w:nsid w:val="2F7E33E9"/>
    <w:multiLevelType w:val="hybridMultilevel"/>
    <w:tmpl w:val="AE08DDC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34A37D5F"/>
    <w:multiLevelType w:val="hybridMultilevel"/>
    <w:tmpl w:val="01B4B98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7" w15:restartNumberingAfterBreak="0">
    <w:nsid w:val="388E62B3"/>
    <w:multiLevelType w:val="hybridMultilevel"/>
    <w:tmpl w:val="994C8526"/>
    <w:lvl w:ilvl="0" w:tplc="BDBEC92E">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8D75D37"/>
    <w:multiLevelType w:val="hybridMultilevel"/>
    <w:tmpl w:val="A6160BC2"/>
    <w:lvl w:ilvl="0" w:tplc="0C07000B">
      <w:start w:val="1"/>
      <w:numFmt w:val="bullet"/>
      <w:lvlText w:val=""/>
      <w:lvlJc w:val="left"/>
      <w:pPr>
        <w:ind w:left="360" w:hanging="360"/>
      </w:pPr>
      <w:rPr>
        <w:rFonts w:ascii="Wingdings" w:hAnsi="Wingdings" w:hint="default"/>
      </w:rPr>
    </w:lvl>
    <w:lvl w:ilvl="1" w:tplc="0C070003">
      <w:start w:val="1"/>
      <w:numFmt w:val="bullet"/>
      <w:lvlText w:val="o"/>
      <w:lvlJc w:val="left"/>
      <w:pPr>
        <w:ind w:left="1080" w:hanging="360"/>
      </w:pPr>
      <w:rPr>
        <w:rFonts w:ascii="Courier New" w:hAnsi="Courier New" w:cs="Times New Roman"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Times New Roman"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Times New Roman" w:hint="default"/>
      </w:rPr>
    </w:lvl>
    <w:lvl w:ilvl="8" w:tplc="0C070005">
      <w:start w:val="1"/>
      <w:numFmt w:val="bullet"/>
      <w:lvlText w:val=""/>
      <w:lvlJc w:val="left"/>
      <w:pPr>
        <w:ind w:left="6120" w:hanging="360"/>
      </w:pPr>
      <w:rPr>
        <w:rFonts w:ascii="Wingdings" w:hAnsi="Wingdings" w:hint="default"/>
      </w:rPr>
    </w:lvl>
  </w:abstractNum>
  <w:abstractNum w:abstractNumId="19" w15:restartNumberingAfterBreak="0">
    <w:nsid w:val="3A9241C5"/>
    <w:multiLevelType w:val="hybridMultilevel"/>
    <w:tmpl w:val="30DCBF22"/>
    <w:lvl w:ilvl="0" w:tplc="142C610A">
      <w:start w:val="1"/>
      <w:numFmt w:val="upperLetter"/>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0" w15:restartNumberingAfterBreak="0">
    <w:nsid w:val="3DE82CE1"/>
    <w:multiLevelType w:val="hybridMultilevel"/>
    <w:tmpl w:val="D53CFA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6A97C8C"/>
    <w:multiLevelType w:val="hybridMultilevel"/>
    <w:tmpl w:val="A09AD710"/>
    <w:lvl w:ilvl="0" w:tplc="04070001">
      <w:start w:val="1"/>
      <w:numFmt w:val="bullet"/>
      <w:lvlText w:val=""/>
      <w:lvlJc w:val="left"/>
      <w:pPr>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2" w15:restartNumberingAfterBreak="0">
    <w:nsid w:val="48D71814"/>
    <w:multiLevelType w:val="hybridMultilevel"/>
    <w:tmpl w:val="FD02C0A0"/>
    <w:lvl w:ilvl="0" w:tplc="2B72F944">
      <w:start w:val="2"/>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B0135A3"/>
    <w:multiLevelType w:val="hybridMultilevel"/>
    <w:tmpl w:val="FACE7CFC"/>
    <w:lvl w:ilvl="0" w:tplc="E57EB9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8F5177"/>
    <w:multiLevelType w:val="hybridMultilevel"/>
    <w:tmpl w:val="42B22172"/>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4F5D76C6"/>
    <w:multiLevelType w:val="hybridMultilevel"/>
    <w:tmpl w:val="E27E96CC"/>
    <w:lvl w:ilvl="0" w:tplc="BDBEC92E">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1BA0C21"/>
    <w:multiLevelType w:val="hybridMultilevel"/>
    <w:tmpl w:val="EA7EAC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36F1603"/>
    <w:multiLevelType w:val="hybridMultilevel"/>
    <w:tmpl w:val="526A3F40"/>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5518393D"/>
    <w:multiLevelType w:val="hybridMultilevel"/>
    <w:tmpl w:val="1228F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5725040"/>
    <w:multiLevelType w:val="multilevel"/>
    <w:tmpl w:val="AED8101E"/>
    <w:lvl w:ilvl="0">
      <w:start w:val="9"/>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87A10D2"/>
    <w:multiLevelType w:val="hybridMultilevel"/>
    <w:tmpl w:val="1D8E3446"/>
    <w:lvl w:ilvl="0" w:tplc="61902CC4">
      <w:numFmt w:val="bullet"/>
      <w:lvlText w:val="-"/>
      <w:lvlJc w:val="left"/>
      <w:pPr>
        <w:ind w:left="720" w:hanging="360"/>
      </w:pPr>
      <w:rPr>
        <w:rFonts w:ascii="Trebuchet MS" w:eastAsia="Times New Roman" w:hAnsi="Trebuchet MS" w:cs="Trebuchet 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58D53930"/>
    <w:multiLevelType w:val="hybridMultilevel"/>
    <w:tmpl w:val="4E128B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60A61DB9"/>
    <w:multiLevelType w:val="hybridMultilevel"/>
    <w:tmpl w:val="3A0650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65C210E1"/>
    <w:multiLevelType w:val="hybridMultilevel"/>
    <w:tmpl w:val="D2EC6886"/>
    <w:lvl w:ilvl="0" w:tplc="516AC5AA">
      <w:start w:val="1"/>
      <w:numFmt w:val="lowerRoman"/>
      <w:lvlText w:val="(%1)"/>
      <w:lvlJc w:val="left"/>
      <w:pPr>
        <w:ind w:left="1440" w:hanging="720"/>
      </w:pPr>
      <w:rPr>
        <w:rFonts w:ascii="Trebuchet MS" w:eastAsia="Calibri" w:hAnsi="Trebuchet MS" w:cs="Times New Roman"/>
      </w:rPr>
    </w:lvl>
    <w:lvl w:ilvl="1" w:tplc="0C070019">
      <w:start w:val="1"/>
      <w:numFmt w:val="lowerLetter"/>
      <w:lvlText w:val="%2."/>
      <w:lvlJc w:val="left"/>
      <w:pPr>
        <w:ind w:left="1800" w:hanging="360"/>
      </w:pPr>
    </w:lvl>
    <w:lvl w:ilvl="2" w:tplc="0C07001B">
      <w:start w:val="1"/>
      <w:numFmt w:val="lowerRoman"/>
      <w:lvlText w:val="%3."/>
      <w:lvlJc w:val="right"/>
      <w:pPr>
        <w:ind w:left="2520" w:hanging="180"/>
      </w:pPr>
    </w:lvl>
    <w:lvl w:ilvl="3" w:tplc="0C07000F">
      <w:start w:val="1"/>
      <w:numFmt w:val="decimal"/>
      <w:lvlText w:val="%4."/>
      <w:lvlJc w:val="left"/>
      <w:pPr>
        <w:ind w:left="3240" w:hanging="360"/>
      </w:pPr>
    </w:lvl>
    <w:lvl w:ilvl="4" w:tplc="0C070019">
      <w:start w:val="1"/>
      <w:numFmt w:val="lowerLetter"/>
      <w:lvlText w:val="%5."/>
      <w:lvlJc w:val="left"/>
      <w:pPr>
        <w:ind w:left="3960" w:hanging="360"/>
      </w:pPr>
    </w:lvl>
    <w:lvl w:ilvl="5" w:tplc="0C07001B">
      <w:start w:val="1"/>
      <w:numFmt w:val="lowerRoman"/>
      <w:lvlText w:val="%6."/>
      <w:lvlJc w:val="right"/>
      <w:pPr>
        <w:ind w:left="4680" w:hanging="180"/>
      </w:pPr>
    </w:lvl>
    <w:lvl w:ilvl="6" w:tplc="0C07000F">
      <w:start w:val="1"/>
      <w:numFmt w:val="decimal"/>
      <w:lvlText w:val="%7."/>
      <w:lvlJc w:val="left"/>
      <w:pPr>
        <w:ind w:left="5400" w:hanging="360"/>
      </w:pPr>
    </w:lvl>
    <w:lvl w:ilvl="7" w:tplc="0C070019">
      <w:start w:val="1"/>
      <w:numFmt w:val="lowerLetter"/>
      <w:lvlText w:val="%8."/>
      <w:lvlJc w:val="left"/>
      <w:pPr>
        <w:ind w:left="6120" w:hanging="360"/>
      </w:pPr>
    </w:lvl>
    <w:lvl w:ilvl="8" w:tplc="0C07001B">
      <w:start w:val="1"/>
      <w:numFmt w:val="lowerRoman"/>
      <w:lvlText w:val="%9."/>
      <w:lvlJc w:val="right"/>
      <w:pPr>
        <w:ind w:left="6840" w:hanging="180"/>
      </w:pPr>
    </w:lvl>
  </w:abstractNum>
  <w:abstractNum w:abstractNumId="34" w15:restartNumberingAfterBreak="0">
    <w:nsid w:val="6DFA673E"/>
    <w:multiLevelType w:val="hybridMultilevel"/>
    <w:tmpl w:val="E04C4170"/>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35" w15:restartNumberingAfterBreak="0">
    <w:nsid w:val="6F7E1336"/>
    <w:multiLevelType w:val="hybridMultilevel"/>
    <w:tmpl w:val="CF7A09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720A428C"/>
    <w:multiLevelType w:val="hybridMultilevel"/>
    <w:tmpl w:val="9514CBB0"/>
    <w:lvl w:ilvl="0" w:tplc="567C697E">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7" w15:restartNumberingAfterBreak="0">
    <w:nsid w:val="72462943"/>
    <w:multiLevelType w:val="hybridMultilevel"/>
    <w:tmpl w:val="384ADF18"/>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8" w15:restartNumberingAfterBreak="0">
    <w:nsid w:val="7C004F2D"/>
    <w:multiLevelType w:val="hybridMultilevel"/>
    <w:tmpl w:val="6E82D81A"/>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39" w15:restartNumberingAfterBreak="0">
    <w:nsid w:val="7C5803E2"/>
    <w:multiLevelType w:val="multilevel"/>
    <w:tmpl w:val="01929808"/>
    <w:lvl w:ilvl="0">
      <w:start w:val="3"/>
      <w:numFmt w:val="decimal"/>
      <w:lvlText w:val="%1."/>
      <w:lvlJc w:val="left"/>
      <w:pPr>
        <w:ind w:left="720"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40" w15:restartNumberingAfterBreak="0">
    <w:nsid w:val="7C6E49FC"/>
    <w:multiLevelType w:val="hybridMultilevel"/>
    <w:tmpl w:val="09B6D3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DD07149"/>
    <w:multiLevelType w:val="hybridMultilevel"/>
    <w:tmpl w:val="A8DC8B8A"/>
    <w:lvl w:ilvl="0" w:tplc="1A023BCE">
      <w:numFmt w:val="bullet"/>
      <w:lvlText w:val="-"/>
      <w:lvlJc w:val="left"/>
      <w:pPr>
        <w:ind w:left="720" w:hanging="360"/>
      </w:pPr>
      <w:rPr>
        <w:rFonts w:ascii="Arial" w:eastAsiaTheme="minorEastAsia"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0"/>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4"/>
  </w:num>
  <w:num w:numId="5">
    <w:abstractNumId w:val="38"/>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8"/>
  </w:num>
  <w:num w:numId="9">
    <w:abstractNumId w:val="7"/>
  </w:num>
  <w:num w:numId="10">
    <w:abstractNumId w:val="35"/>
  </w:num>
  <w:num w:numId="11">
    <w:abstractNumId w:val="31"/>
  </w:num>
  <w:num w:numId="12">
    <w:abstractNumId w:val="37"/>
  </w:num>
  <w:num w:numId="13">
    <w:abstractNumId w:val="6"/>
  </w:num>
  <w:num w:numId="14">
    <w:abstractNumId w:val="0"/>
  </w:num>
  <w:num w:numId="15">
    <w:abstractNumId w:val="32"/>
  </w:num>
  <w:num w:numId="16">
    <w:abstractNumId w:val="36"/>
  </w:num>
  <w:num w:numId="17">
    <w:abstractNumId w:val="3"/>
  </w:num>
  <w:num w:numId="18">
    <w:abstractNumId w:val="1"/>
  </w:num>
  <w:num w:numId="19">
    <w:abstractNumId w:val="13"/>
  </w:num>
  <w:num w:numId="20">
    <w:abstractNumId w:val="22"/>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4"/>
  </w:num>
  <w:num w:numId="24">
    <w:abstractNumId w:val="11"/>
  </w:num>
  <w:num w:numId="25">
    <w:abstractNumId w:val="23"/>
  </w:num>
  <w:num w:numId="26">
    <w:abstractNumId w:val="26"/>
  </w:num>
  <w:num w:numId="27">
    <w:abstractNumId w:val="4"/>
  </w:num>
  <w:num w:numId="28">
    <w:abstractNumId w:val="9"/>
  </w:num>
  <w:num w:numId="29">
    <w:abstractNumId w:val="41"/>
  </w:num>
  <w:num w:numId="30">
    <w:abstractNumId w:val="39"/>
  </w:num>
  <w:num w:numId="31">
    <w:abstractNumId w:val="40"/>
  </w:num>
  <w:num w:numId="32">
    <w:abstractNumId w:val="2"/>
  </w:num>
  <w:num w:numId="33">
    <w:abstractNumId w:val="29"/>
  </w:num>
  <w:num w:numId="34">
    <w:abstractNumId w:val="24"/>
  </w:num>
  <w:num w:numId="35">
    <w:abstractNumId w:val="17"/>
  </w:num>
  <w:num w:numId="36">
    <w:abstractNumId w:val="5"/>
  </w:num>
  <w:num w:numId="37">
    <w:abstractNumId w:val="25"/>
  </w:num>
  <w:num w:numId="38">
    <w:abstractNumId w:val="20"/>
  </w:num>
  <w:num w:numId="39">
    <w:abstractNumId w:val="28"/>
  </w:num>
  <w:num w:numId="40">
    <w:abstractNumId w:val="10"/>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activeWritingStyle w:appName="MSWord" w:lang="de-AT" w:vendorID="64" w:dllVersion="6" w:nlCheck="1" w:checkStyle="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0CC"/>
    <w:rsid w:val="00001730"/>
    <w:rsid w:val="00013086"/>
    <w:rsid w:val="000135FB"/>
    <w:rsid w:val="000163E0"/>
    <w:rsid w:val="00021DBA"/>
    <w:rsid w:val="00024D8C"/>
    <w:rsid w:val="00026657"/>
    <w:rsid w:val="00035D58"/>
    <w:rsid w:val="00041C1E"/>
    <w:rsid w:val="00044A71"/>
    <w:rsid w:val="00053316"/>
    <w:rsid w:val="00057439"/>
    <w:rsid w:val="00061814"/>
    <w:rsid w:val="000619FB"/>
    <w:rsid w:val="0006215B"/>
    <w:rsid w:val="00071436"/>
    <w:rsid w:val="00071BF7"/>
    <w:rsid w:val="00076F33"/>
    <w:rsid w:val="00080C92"/>
    <w:rsid w:val="00080E83"/>
    <w:rsid w:val="0008171B"/>
    <w:rsid w:val="0008527D"/>
    <w:rsid w:val="0008698A"/>
    <w:rsid w:val="00086BFB"/>
    <w:rsid w:val="00090592"/>
    <w:rsid w:val="000919C4"/>
    <w:rsid w:val="00094EB8"/>
    <w:rsid w:val="0009753B"/>
    <w:rsid w:val="000A0183"/>
    <w:rsid w:val="000A205C"/>
    <w:rsid w:val="000A4FC6"/>
    <w:rsid w:val="000A55AE"/>
    <w:rsid w:val="000A771B"/>
    <w:rsid w:val="000A7D13"/>
    <w:rsid w:val="000B2CE7"/>
    <w:rsid w:val="000B449E"/>
    <w:rsid w:val="000B4D96"/>
    <w:rsid w:val="000B572C"/>
    <w:rsid w:val="000D7538"/>
    <w:rsid w:val="000E511B"/>
    <w:rsid w:val="000F1070"/>
    <w:rsid w:val="000F2220"/>
    <w:rsid w:val="000F28BB"/>
    <w:rsid w:val="000F3572"/>
    <w:rsid w:val="000F74C7"/>
    <w:rsid w:val="00101144"/>
    <w:rsid w:val="00101383"/>
    <w:rsid w:val="001042B8"/>
    <w:rsid w:val="00105F0E"/>
    <w:rsid w:val="0011743A"/>
    <w:rsid w:val="00121770"/>
    <w:rsid w:val="00121CBD"/>
    <w:rsid w:val="001276A5"/>
    <w:rsid w:val="00127F3B"/>
    <w:rsid w:val="00131416"/>
    <w:rsid w:val="00131A98"/>
    <w:rsid w:val="00135A40"/>
    <w:rsid w:val="00137EF5"/>
    <w:rsid w:val="0014018E"/>
    <w:rsid w:val="0014746B"/>
    <w:rsid w:val="00151673"/>
    <w:rsid w:val="00151A78"/>
    <w:rsid w:val="00155AEE"/>
    <w:rsid w:val="00161914"/>
    <w:rsid w:val="00163CC0"/>
    <w:rsid w:val="00163DDA"/>
    <w:rsid w:val="00174D0C"/>
    <w:rsid w:val="00183969"/>
    <w:rsid w:val="0019020E"/>
    <w:rsid w:val="00196D5C"/>
    <w:rsid w:val="00196EB4"/>
    <w:rsid w:val="001974F7"/>
    <w:rsid w:val="001B0788"/>
    <w:rsid w:val="001B4AB0"/>
    <w:rsid w:val="001C4931"/>
    <w:rsid w:val="001C49F8"/>
    <w:rsid w:val="001D2667"/>
    <w:rsid w:val="001D40CC"/>
    <w:rsid w:val="001E0374"/>
    <w:rsid w:val="001E1448"/>
    <w:rsid w:val="001F3545"/>
    <w:rsid w:val="00200D4E"/>
    <w:rsid w:val="002045CC"/>
    <w:rsid w:val="00205DE9"/>
    <w:rsid w:val="002061DD"/>
    <w:rsid w:val="00207AC9"/>
    <w:rsid w:val="00210FDF"/>
    <w:rsid w:val="00224981"/>
    <w:rsid w:val="00236C5A"/>
    <w:rsid w:val="00240D9B"/>
    <w:rsid w:val="00250CBA"/>
    <w:rsid w:val="0026358F"/>
    <w:rsid w:val="00264C67"/>
    <w:rsid w:val="00265C18"/>
    <w:rsid w:val="002711FC"/>
    <w:rsid w:val="00272C43"/>
    <w:rsid w:val="00280548"/>
    <w:rsid w:val="00282636"/>
    <w:rsid w:val="002830FB"/>
    <w:rsid w:val="0028446E"/>
    <w:rsid w:val="00287819"/>
    <w:rsid w:val="00293410"/>
    <w:rsid w:val="00296269"/>
    <w:rsid w:val="002A00E4"/>
    <w:rsid w:val="002A15C7"/>
    <w:rsid w:val="002A3540"/>
    <w:rsid w:val="002B08BD"/>
    <w:rsid w:val="002B3BF4"/>
    <w:rsid w:val="002B4B41"/>
    <w:rsid w:val="002D14BF"/>
    <w:rsid w:val="002D4A90"/>
    <w:rsid w:val="002D69C4"/>
    <w:rsid w:val="002E4BD0"/>
    <w:rsid w:val="002F1DC4"/>
    <w:rsid w:val="003104AE"/>
    <w:rsid w:val="00312578"/>
    <w:rsid w:val="00316718"/>
    <w:rsid w:val="0031680D"/>
    <w:rsid w:val="00317CA7"/>
    <w:rsid w:val="00320A42"/>
    <w:rsid w:val="00325FCF"/>
    <w:rsid w:val="00327DD3"/>
    <w:rsid w:val="003303C4"/>
    <w:rsid w:val="00344DB8"/>
    <w:rsid w:val="00346DF4"/>
    <w:rsid w:val="00356254"/>
    <w:rsid w:val="003568E9"/>
    <w:rsid w:val="00361B24"/>
    <w:rsid w:val="003814C3"/>
    <w:rsid w:val="00384948"/>
    <w:rsid w:val="00390AC7"/>
    <w:rsid w:val="003933A5"/>
    <w:rsid w:val="0039371D"/>
    <w:rsid w:val="003A5633"/>
    <w:rsid w:val="003B3D28"/>
    <w:rsid w:val="003B6B36"/>
    <w:rsid w:val="003C35DC"/>
    <w:rsid w:val="003C5804"/>
    <w:rsid w:val="003C622F"/>
    <w:rsid w:val="003C7723"/>
    <w:rsid w:val="003C7778"/>
    <w:rsid w:val="003D07A4"/>
    <w:rsid w:val="003E09A5"/>
    <w:rsid w:val="003E6845"/>
    <w:rsid w:val="003F44A2"/>
    <w:rsid w:val="003F5EEF"/>
    <w:rsid w:val="003F6706"/>
    <w:rsid w:val="00404863"/>
    <w:rsid w:val="004057F3"/>
    <w:rsid w:val="00416786"/>
    <w:rsid w:val="004235FB"/>
    <w:rsid w:val="00425684"/>
    <w:rsid w:val="00430245"/>
    <w:rsid w:val="004302FD"/>
    <w:rsid w:val="004339AE"/>
    <w:rsid w:val="004400CB"/>
    <w:rsid w:val="00445FAF"/>
    <w:rsid w:val="0044708F"/>
    <w:rsid w:val="00450B6F"/>
    <w:rsid w:val="00461F65"/>
    <w:rsid w:val="004632A4"/>
    <w:rsid w:val="00470480"/>
    <w:rsid w:val="004745CD"/>
    <w:rsid w:val="00480120"/>
    <w:rsid w:val="00482639"/>
    <w:rsid w:val="00485220"/>
    <w:rsid w:val="0048523B"/>
    <w:rsid w:val="00487A00"/>
    <w:rsid w:val="004926F1"/>
    <w:rsid w:val="004A01A9"/>
    <w:rsid w:val="004A115F"/>
    <w:rsid w:val="004B2194"/>
    <w:rsid w:val="004C0E9B"/>
    <w:rsid w:val="004C5E94"/>
    <w:rsid w:val="004C6FA4"/>
    <w:rsid w:val="004D1102"/>
    <w:rsid w:val="004D1A1E"/>
    <w:rsid w:val="004E2249"/>
    <w:rsid w:val="004E2A45"/>
    <w:rsid w:val="004E51E5"/>
    <w:rsid w:val="004F1B60"/>
    <w:rsid w:val="004F53C0"/>
    <w:rsid w:val="004F6198"/>
    <w:rsid w:val="00505343"/>
    <w:rsid w:val="0051495A"/>
    <w:rsid w:val="00517690"/>
    <w:rsid w:val="00521B7F"/>
    <w:rsid w:val="00535CF4"/>
    <w:rsid w:val="00550380"/>
    <w:rsid w:val="005548F9"/>
    <w:rsid w:val="00556359"/>
    <w:rsid w:val="00560A66"/>
    <w:rsid w:val="00562C44"/>
    <w:rsid w:val="00576F32"/>
    <w:rsid w:val="00590AAE"/>
    <w:rsid w:val="005966DB"/>
    <w:rsid w:val="00596B5B"/>
    <w:rsid w:val="005A2D33"/>
    <w:rsid w:val="005B1218"/>
    <w:rsid w:val="005B2525"/>
    <w:rsid w:val="005B2844"/>
    <w:rsid w:val="005B3FB7"/>
    <w:rsid w:val="005C04FF"/>
    <w:rsid w:val="005C218C"/>
    <w:rsid w:val="005C7948"/>
    <w:rsid w:val="005D0470"/>
    <w:rsid w:val="005D08DC"/>
    <w:rsid w:val="005D0B33"/>
    <w:rsid w:val="005D1620"/>
    <w:rsid w:val="005D442D"/>
    <w:rsid w:val="005D4F47"/>
    <w:rsid w:val="005E1BA5"/>
    <w:rsid w:val="005E7180"/>
    <w:rsid w:val="005F5B48"/>
    <w:rsid w:val="005F632A"/>
    <w:rsid w:val="006065F4"/>
    <w:rsid w:val="00606AFA"/>
    <w:rsid w:val="00622B51"/>
    <w:rsid w:val="00623752"/>
    <w:rsid w:val="00623872"/>
    <w:rsid w:val="006261AF"/>
    <w:rsid w:val="00641DC4"/>
    <w:rsid w:val="00642235"/>
    <w:rsid w:val="00642A57"/>
    <w:rsid w:val="006471E3"/>
    <w:rsid w:val="00650AE5"/>
    <w:rsid w:val="006518A3"/>
    <w:rsid w:val="0065464B"/>
    <w:rsid w:val="00672B4F"/>
    <w:rsid w:val="00677F47"/>
    <w:rsid w:val="00683614"/>
    <w:rsid w:val="0068403B"/>
    <w:rsid w:val="00686189"/>
    <w:rsid w:val="0069309F"/>
    <w:rsid w:val="00694B28"/>
    <w:rsid w:val="006A55B4"/>
    <w:rsid w:val="006B05A1"/>
    <w:rsid w:val="006C33D2"/>
    <w:rsid w:val="006D0E68"/>
    <w:rsid w:val="006D109C"/>
    <w:rsid w:val="006D6427"/>
    <w:rsid w:val="006E0163"/>
    <w:rsid w:val="006E5185"/>
    <w:rsid w:val="0070253E"/>
    <w:rsid w:val="007053E7"/>
    <w:rsid w:val="007114EC"/>
    <w:rsid w:val="00711C4D"/>
    <w:rsid w:val="007203E6"/>
    <w:rsid w:val="007230AC"/>
    <w:rsid w:val="00724C39"/>
    <w:rsid w:val="0072798F"/>
    <w:rsid w:val="00732AFB"/>
    <w:rsid w:val="0073402F"/>
    <w:rsid w:val="0073440E"/>
    <w:rsid w:val="00741DDB"/>
    <w:rsid w:val="00743A63"/>
    <w:rsid w:val="00754BAF"/>
    <w:rsid w:val="00766B69"/>
    <w:rsid w:val="00767DA3"/>
    <w:rsid w:val="007755BF"/>
    <w:rsid w:val="007757A9"/>
    <w:rsid w:val="007762A4"/>
    <w:rsid w:val="00776348"/>
    <w:rsid w:val="007816E4"/>
    <w:rsid w:val="00782541"/>
    <w:rsid w:val="00783F4D"/>
    <w:rsid w:val="007846C2"/>
    <w:rsid w:val="0079551E"/>
    <w:rsid w:val="00795782"/>
    <w:rsid w:val="007A01B8"/>
    <w:rsid w:val="007A1751"/>
    <w:rsid w:val="007B32D2"/>
    <w:rsid w:val="007B3A82"/>
    <w:rsid w:val="007B3EA1"/>
    <w:rsid w:val="007B641D"/>
    <w:rsid w:val="007C2846"/>
    <w:rsid w:val="007C2F92"/>
    <w:rsid w:val="007D0A79"/>
    <w:rsid w:val="007D3573"/>
    <w:rsid w:val="007D4FE3"/>
    <w:rsid w:val="007E1AC2"/>
    <w:rsid w:val="007E6B3B"/>
    <w:rsid w:val="007F5F54"/>
    <w:rsid w:val="00801234"/>
    <w:rsid w:val="0080414A"/>
    <w:rsid w:val="0081169B"/>
    <w:rsid w:val="00811CE5"/>
    <w:rsid w:val="00812F74"/>
    <w:rsid w:val="00815C5E"/>
    <w:rsid w:val="00816598"/>
    <w:rsid w:val="008255E7"/>
    <w:rsid w:val="00833BA4"/>
    <w:rsid w:val="008351DF"/>
    <w:rsid w:val="008406BB"/>
    <w:rsid w:val="0084684D"/>
    <w:rsid w:val="0086077B"/>
    <w:rsid w:val="00864AF6"/>
    <w:rsid w:val="008720A6"/>
    <w:rsid w:val="008745CD"/>
    <w:rsid w:val="00881BC0"/>
    <w:rsid w:val="00884544"/>
    <w:rsid w:val="0088500E"/>
    <w:rsid w:val="0089476E"/>
    <w:rsid w:val="008953FC"/>
    <w:rsid w:val="008B1362"/>
    <w:rsid w:val="008B1709"/>
    <w:rsid w:val="008B1D1A"/>
    <w:rsid w:val="008C0AE8"/>
    <w:rsid w:val="008C0C66"/>
    <w:rsid w:val="008C679C"/>
    <w:rsid w:val="008D1E25"/>
    <w:rsid w:val="008D469D"/>
    <w:rsid w:val="008D5D3B"/>
    <w:rsid w:val="008D70E6"/>
    <w:rsid w:val="008D77D7"/>
    <w:rsid w:val="008E02AC"/>
    <w:rsid w:val="008F1DD3"/>
    <w:rsid w:val="008F3076"/>
    <w:rsid w:val="008F3EA3"/>
    <w:rsid w:val="0091585E"/>
    <w:rsid w:val="00917182"/>
    <w:rsid w:val="009303DC"/>
    <w:rsid w:val="00935B03"/>
    <w:rsid w:val="00935BB6"/>
    <w:rsid w:val="0093708A"/>
    <w:rsid w:val="00942F6C"/>
    <w:rsid w:val="0094333B"/>
    <w:rsid w:val="0094518B"/>
    <w:rsid w:val="009458C0"/>
    <w:rsid w:val="009572BB"/>
    <w:rsid w:val="009632CC"/>
    <w:rsid w:val="00965380"/>
    <w:rsid w:val="009853E1"/>
    <w:rsid w:val="009922DC"/>
    <w:rsid w:val="009A6947"/>
    <w:rsid w:val="009B3CDE"/>
    <w:rsid w:val="009B6C3A"/>
    <w:rsid w:val="009C1E08"/>
    <w:rsid w:val="009C6136"/>
    <w:rsid w:val="009D188F"/>
    <w:rsid w:val="009D58FA"/>
    <w:rsid w:val="009E1189"/>
    <w:rsid w:val="009E38D2"/>
    <w:rsid w:val="009E5929"/>
    <w:rsid w:val="009E5A12"/>
    <w:rsid w:val="009E66CA"/>
    <w:rsid w:val="009F4450"/>
    <w:rsid w:val="009F57DA"/>
    <w:rsid w:val="009F6A00"/>
    <w:rsid w:val="00A01B18"/>
    <w:rsid w:val="00A0265B"/>
    <w:rsid w:val="00A04A94"/>
    <w:rsid w:val="00A06DE5"/>
    <w:rsid w:val="00A07FE0"/>
    <w:rsid w:val="00A147F7"/>
    <w:rsid w:val="00A21AEC"/>
    <w:rsid w:val="00A23371"/>
    <w:rsid w:val="00A23661"/>
    <w:rsid w:val="00A23779"/>
    <w:rsid w:val="00A36834"/>
    <w:rsid w:val="00A42F7B"/>
    <w:rsid w:val="00A437DE"/>
    <w:rsid w:val="00A43FAC"/>
    <w:rsid w:val="00A44D5F"/>
    <w:rsid w:val="00A500F1"/>
    <w:rsid w:val="00A5381E"/>
    <w:rsid w:val="00A54C2F"/>
    <w:rsid w:val="00A55757"/>
    <w:rsid w:val="00A64C34"/>
    <w:rsid w:val="00A705F5"/>
    <w:rsid w:val="00A707A7"/>
    <w:rsid w:val="00A70C7D"/>
    <w:rsid w:val="00A81341"/>
    <w:rsid w:val="00A82C13"/>
    <w:rsid w:val="00A8532A"/>
    <w:rsid w:val="00A912E3"/>
    <w:rsid w:val="00A955F6"/>
    <w:rsid w:val="00A97AE7"/>
    <w:rsid w:val="00AA0432"/>
    <w:rsid w:val="00AB5857"/>
    <w:rsid w:val="00AB59B3"/>
    <w:rsid w:val="00AD053F"/>
    <w:rsid w:val="00AE02B3"/>
    <w:rsid w:val="00AE1B6A"/>
    <w:rsid w:val="00AE457B"/>
    <w:rsid w:val="00AE6511"/>
    <w:rsid w:val="00B020A3"/>
    <w:rsid w:val="00B10218"/>
    <w:rsid w:val="00B17B80"/>
    <w:rsid w:val="00B22761"/>
    <w:rsid w:val="00B32456"/>
    <w:rsid w:val="00B33A2C"/>
    <w:rsid w:val="00B36C46"/>
    <w:rsid w:val="00B447AA"/>
    <w:rsid w:val="00B467F0"/>
    <w:rsid w:val="00B46C57"/>
    <w:rsid w:val="00B51CB0"/>
    <w:rsid w:val="00B532F2"/>
    <w:rsid w:val="00B55633"/>
    <w:rsid w:val="00B57C55"/>
    <w:rsid w:val="00B6209E"/>
    <w:rsid w:val="00B6213F"/>
    <w:rsid w:val="00B6399F"/>
    <w:rsid w:val="00B63C71"/>
    <w:rsid w:val="00B64838"/>
    <w:rsid w:val="00B6488D"/>
    <w:rsid w:val="00B6710C"/>
    <w:rsid w:val="00B67CEF"/>
    <w:rsid w:val="00B84738"/>
    <w:rsid w:val="00B85379"/>
    <w:rsid w:val="00B8623F"/>
    <w:rsid w:val="00B93882"/>
    <w:rsid w:val="00B960F5"/>
    <w:rsid w:val="00BA147F"/>
    <w:rsid w:val="00BA5BEC"/>
    <w:rsid w:val="00BA5E95"/>
    <w:rsid w:val="00BA6878"/>
    <w:rsid w:val="00BA7A5E"/>
    <w:rsid w:val="00BB344D"/>
    <w:rsid w:val="00BC6569"/>
    <w:rsid w:val="00BD2D5E"/>
    <w:rsid w:val="00BD3A1D"/>
    <w:rsid w:val="00BD7362"/>
    <w:rsid w:val="00BE0E6A"/>
    <w:rsid w:val="00BE7A33"/>
    <w:rsid w:val="00BF1820"/>
    <w:rsid w:val="00BF2A57"/>
    <w:rsid w:val="00BF3BB7"/>
    <w:rsid w:val="00C011CF"/>
    <w:rsid w:val="00C02F42"/>
    <w:rsid w:val="00C044AE"/>
    <w:rsid w:val="00C11030"/>
    <w:rsid w:val="00C21BF0"/>
    <w:rsid w:val="00C23AED"/>
    <w:rsid w:val="00C3459A"/>
    <w:rsid w:val="00C34E41"/>
    <w:rsid w:val="00C358D5"/>
    <w:rsid w:val="00C376E8"/>
    <w:rsid w:val="00C406D2"/>
    <w:rsid w:val="00C47B46"/>
    <w:rsid w:val="00C519C2"/>
    <w:rsid w:val="00C543F8"/>
    <w:rsid w:val="00C619D3"/>
    <w:rsid w:val="00C64B6E"/>
    <w:rsid w:val="00C66013"/>
    <w:rsid w:val="00C728A8"/>
    <w:rsid w:val="00C737BA"/>
    <w:rsid w:val="00C84D8A"/>
    <w:rsid w:val="00C94C28"/>
    <w:rsid w:val="00C97D15"/>
    <w:rsid w:val="00CA1356"/>
    <w:rsid w:val="00CA6A50"/>
    <w:rsid w:val="00CB2954"/>
    <w:rsid w:val="00CB797F"/>
    <w:rsid w:val="00CC1072"/>
    <w:rsid w:val="00CD2A67"/>
    <w:rsid w:val="00CD4E8C"/>
    <w:rsid w:val="00CD4ED3"/>
    <w:rsid w:val="00CE1526"/>
    <w:rsid w:val="00CE1A19"/>
    <w:rsid w:val="00CE3F94"/>
    <w:rsid w:val="00CE4DD7"/>
    <w:rsid w:val="00CE5D6F"/>
    <w:rsid w:val="00CF63BD"/>
    <w:rsid w:val="00D10757"/>
    <w:rsid w:val="00D1088D"/>
    <w:rsid w:val="00D164AD"/>
    <w:rsid w:val="00D333BA"/>
    <w:rsid w:val="00D35759"/>
    <w:rsid w:val="00D364F4"/>
    <w:rsid w:val="00D371BE"/>
    <w:rsid w:val="00D37B81"/>
    <w:rsid w:val="00D42F9C"/>
    <w:rsid w:val="00D44582"/>
    <w:rsid w:val="00D51EC2"/>
    <w:rsid w:val="00D55968"/>
    <w:rsid w:val="00D57833"/>
    <w:rsid w:val="00D614D3"/>
    <w:rsid w:val="00D61E2F"/>
    <w:rsid w:val="00D63F9C"/>
    <w:rsid w:val="00D6614C"/>
    <w:rsid w:val="00D679C5"/>
    <w:rsid w:val="00D708D7"/>
    <w:rsid w:val="00D76BDD"/>
    <w:rsid w:val="00D77C55"/>
    <w:rsid w:val="00D82226"/>
    <w:rsid w:val="00D84A26"/>
    <w:rsid w:val="00D90D34"/>
    <w:rsid w:val="00D90EF8"/>
    <w:rsid w:val="00D9226A"/>
    <w:rsid w:val="00DA13B9"/>
    <w:rsid w:val="00DA4E3C"/>
    <w:rsid w:val="00DA5251"/>
    <w:rsid w:val="00DB117B"/>
    <w:rsid w:val="00DB34E3"/>
    <w:rsid w:val="00DB4FF8"/>
    <w:rsid w:val="00DC0A36"/>
    <w:rsid w:val="00DC2F9C"/>
    <w:rsid w:val="00DD4E27"/>
    <w:rsid w:val="00DE0704"/>
    <w:rsid w:val="00E0664D"/>
    <w:rsid w:val="00E2444D"/>
    <w:rsid w:val="00E25162"/>
    <w:rsid w:val="00E260A8"/>
    <w:rsid w:val="00E376EA"/>
    <w:rsid w:val="00E40277"/>
    <w:rsid w:val="00E41DFD"/>
    <w:rsid w:val="00E4233B"/>
    <w:rsid w:val="00E45332"/>
    <w:rsid w:val="00E46914"/>
    <w:rsid w:val="00E505CF"/>
    <w:rsid w:val="00E51B60"/>
    <w:rsid w:val="00E72490"/>
    <w:rsid w:val="00E754C8"/>
    <w:rsid w:val="00E8006A"/>
    <w:rsid w:val="00E81371"/>
    <w:rsid w:val="00E82191"/>
    <w:rsid w:val="00E87DCD"/>
    <w:rsid w:val="00E95C5D"/>
    <w:rsid w:val="00EA1FF4"/>
    <w:rsid w:val="00EB13E2"/>
    <w:rsid w:val="00EB2182"/>
    <w:rsid w:val="00EB3B01"/>
    <w:rsid w:val="00EC6597"/>
    <w:rsid w:val="00ED0561"/>
    <w:rsid w:val="00ED0AED"/>
    <w:rsid w:val="00ED171E"/>
    <w:rsid w:val="00ED2466"/>
    <w:rsid w:val="00EE33EF"/>
    <w:rsid w:val="00EF39D4"/>
    <w:rsid w:val="00F039F2"/>
    <w:rsid w:val="00F06018"/>
    <w:rsid w:val="00F17F3D"/>
    <w:rsid w:val="00F17F7B"/>
    <w:rsid w:val="00F21921"/>
    <w:rsid w:val="00F253EA"/>
    <w:rsid w:val="00F26986"/>
    <w:rsid w:val="00F31CB0"/>
    <w:rsid w:val="00F37341"/>
    <w:rsid w:val="00F42876"/>
    <w:rsid w:val="00F472AC"/>
    <w:rsid w:val="00F57342"/>
    <w:rsid w:val="00F700E4"/>
    <w:rsid w:val="00F71922"/>
    <w:rsid w:val="00F744E0"/>
    <w:rsid w:val="00F77CC4"/>
    <w:rsid w:val="00F77E12"/>
    <w:rsid w:val="00F8025E"/>
    <w:rsid w:val="00F81A01"/>
    <w:rsid w:val="00F83CF8"/>
    <w:rsid w:val="00F878D2"/>
    <w:rsid w:val="00F90148"/>
    <w:rsid w:val="00F9470D"/>
    <w:rsid w:val="00F9528C"/>
    <w:rsid w:val="00F9595F"/>
    <w:rsid w:val="00F9684B"/>
    <w:rsid w:val="00FB464A"/>
    <w:rsid w:val="00FB6113"/>
    <w:rsid w:val="00FC5F01"/>
    <w:rsid w:val="00FD1999"/>
    <w:rsid w:val="00FD1D18"/>
    <w:rsid w:val="00FD48B2"/>
    <w:rsid w:val="00FD4B23"/>
    <w:rsid w:val="00FE48D6"/>
    <w:rsid w:val="00FF18C9"/>
    <w:rsid w:val="00FF7E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6ECC738B"/>
  <w15:docId w15:val="{0D2A17A6-5C88-4FA6-9DDD-948BB5E3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700E4"/>
    <w:pPr>
      <w:spacing w:line="280" w:lineRule="atLeast"/>
    </w:pPr>
    <w:rPr>
      <w:rFonts w:ascii="Trebuchet MS" w:hAnsi="Trebuchet MS" w:cs="Trebuchet MS"/>
      <w:snapToGrid w:val="0"/>
      <w:sz w:val="22"/>
      <w:szCs w:val="22"/>
      <w:lang w:val="de-DE"/>
    </w:rPr>
  </w:style>
  <w:style w:type="paragraph" w:styleId="berschrift1">
    <w:name w:val="heading 1"/>
    <w:basedOn w:val="Standard"/>
    <w:next w:val="Standard"/>
    <w:qFormat/>
    <w:rsid w:val="00F700E4"/>
    <w:pPr>
      <w:keepNext/>
      <w:pageBreakBefore/>
      <w:spacing w:after="360"/>
      <w:outlineLvl w:val="0"/>
    </w:pPr>
    <w:rPr>
      <w:rFonts w:ascii="Times New Roman" w:hAnsi="Times New Roman" w:cs="Times New Roman"/>
      <w:b/>
      <w:bCs/>
      <w:caps/>
      <w:kern w:val="28"/>
      <w:sz w:val="48"/>
      <w:szCs w:val="48"/>
    </w:rPr>
  </w:style>
  <w:style w:type="paragraph" w:styleId="berschrift2">
    <w:name w:val="heading 2"/>
    <w:basedOn w:val="Standard"/>
    <w:next w:val="Standard"/>
    <w:qFormat/>
    <w:rsid w:val="00F700E4"/>
    <w:pPr>
      <w:keepNext/>
      <w:spacing w:before="240" w:after="240"/>
      <w:outlineLvl w:val="1"/>
    </w:pPr>
    <w:rPr>
      <w:rFonts w:ascii="Times New Roman" w:hAnsi="Times New Roman" w:cs="Times New Roman"/>
      <w:b/>
      <w:bCs/>
      <w:caps/>
      <w:sz w:val="32"/>
      <w:szCs w:val="32"/>
    </w:rPr>
  </w:style>
  <w:style w:type="paragraph" w:styleId="berschrift3">
    <w:name w:val="heading 3"/>
    <w:basedOn w:val="Standard"/>
    <w:next w:val="Standard"/>
    <w:qFormat/>
    <w:rsid w:val="00F700E4"/>
    <w:pPr>
      <w:keepNext/>
      <w:spacing w:before="240" w:after="240"/>
      <w:outlineLvl w:val="2"/>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rsid w:val="00F700E4"/>
    <w:rPr>
      <w:sz w:val="18"/>
      <w:szCs w:val="18"/>
    </w:rPr>
  </w:style>
  <w:style w:type="paragraph" w:styleId="Kopfzeile">
    <w:name w:val="header"/>
    <w:basedOn w:val="Standard"/>
    <w:rsid w:val="00F700E4"/>
    <w:pPr>
      <w:tabs>
        <w:tab w:val="center" w:pos="4536"/>
        <w:tab w:val="right" w:pos="9072"/>
      </w:tabs>
    </w:pPr>
  </w:style>
  <w:style w:type="paragraph" w:styleId="Fuzeile">
    <w:name w:val="footer"/>
    <w:basedOn w:val="Standard"/>
    <w:link w:val="FuzeileZchn"/>
    <w:uiPriority w:val="99"/>
    <w:rsid w:val="00F700E4"/>
    <w:pPr>
      <w:tabs>
        <w:tab w:val="center" w:pos="4536"/>
        <w:tab w:val="right" w:pos="9072"/>
      </w:tabs>
    </w:pPr>
  </w:style>
  <w:style w:type="character" w:styleId="Seitenzahl">
    <w:name w:val="page number"/>
    <w:basedOn w:val="Absatz-Standardschriftart"/>
    <w:rsid w:val="00F700E4"/>
  </w:style>
  <w:style w:type="paragraph" w:styleId="Sprechblasentext">
    <w:name w:val="Balloon Text"/>
    <w:basedOn w:val="Standard"/>
    <w:semiHidden/>
    <w:rsid w:val="00F700E4"/>
    <w:rPr>
      <w:rFonts w:ascii="Times New Roman" w:hAnsi="Times New Roman" w:cs="Times New Roman"/>
      <w:sz w:val="16"/>
      <w:szCs w:val="16"/>
    </w:rPr>
  </w:style>
  <w:style w:type="paragraph" w:styleId="Titel">
    <w:name w:val="Title"/>
    <w:basedOn w:val="Standard"/>
    <w:qFormat/>
    <w:rsid w:val="00F700E4"/>
    <w:pPr>
      <w:spacing w:line="240" w:lineRule="auto"/>
      <w:jc w:val="center"/>
    </w:pPr>
    <w:rPr>
      <w:rFonts w:ascii="Arial" w:hAnsi="Arial" w:cs="Arial"/>
      <w:b/>
      <w:bCs/>
      <w:sz w:val="24"/>
      <w:szCs w:val="24"/>
    </w:rPr>
  </w:style>
  <w:style w:type="character" w:customStyle="1" w:styleId="tw4winMark">
    <w:name w:val="tw4winMark"/>
    <w:rsid w:val="00F700E4"/>
    <w:rPr>
      <w:rFonts w:ascii="Courier New" w:hAnsi="Courier New" w:cs="Courier New"/>
      <w:vanish/>
      <w:color w:val="800080"/>
      <w:sz w:val="24"/>
      <w:szCs w:val="24"/>
      <w:vertAlign w:val="subscript"/>
    </w:rPr>
  </w:style>
  <w:style w:type="character" w:customStyle="1" w:styleId="tw4winError">
    <w:name w:val="tw4winError"/>
    <w:rsid w:val="00F700E4"/>
    <w:rPr>
      <w:rFonts w:ascii="Courier New" w:hAnsi="Courier New" w:cs="Courier New"/>
      <w:color w:val="00FF00"/>
      <w:sz w:val="40"/>
      <w:szCs w:val="40"/>
    </w:rPr>
  </w:style>
  <w:style w:type="character" w:customStyle="1" w:styleId="tw4winTerm">
    <w:name w:val="tw4winTerm"/>
    <w:rsid w:val="00F700E4"/>
    <w:rPr>
      <w:color w:val="0000FF"/>
    </w:rPr>
  </w:style>
  <w:style w:type="character" w:customStyle="1" w:styleId="tw4winPopup">
    <w:name w:val="tw4winPopup"/>
    <w:rsid w:val="00F700E4"/>
    <w:rPr>
      <w:rFonts w:ascii="Courier New" w:hAnsi="Courier New" w:cs="Courier New"/>
      <w:noProof/>
      <w:color w:val="008000"/>
    </w:rPr>
  </w:style>
  <w:style w:type="character" w:customStyle="1" w:styleId="tw4winJump">
    <w:name w:val="tw4winJump"/>
    <w:rsid w:val="00F700E4"/>
    <w:rPr>
      <w:rFonts w:ascii="Courier New" w:hAnsi="Courier New" w:cs="Courier New"/>
      <w:noProof/>
      <w:color w:val="008080"/>
    </w:rPr>
  </w:style>
  <w:style w:type="character" w:customStyle="1" w:styleId="tw4winExternal">
    <w:name w:val="tw4winExternal"/>
    <w:rsid w:val="00F700E4"/>
    <w:rPr>
      <w:rFonts w:ascii="Courier New" w:hAnsi="Courier New" w:cs="Courier New"/>
      <w:noProof/>
      <w:color w:val="808080"/>
    </w:rPr>
  </w:style>
  <w:style w:type="character" w:customStyle="1" w:styleId="tw4winInternal">
    <w:name w:val="tw4winInternal"/>
    <w:rsid w:val="00F700E4"/>
    <w:rPr>
      <w:rFonts w:ascii="Courier New" w:hAnsi="Courier New" w:cs="Courier New"/>
      <w:noProof/>
      <w:color w:val="FF0000"/>
    </w:rPr>
  </w:style>
  <w:style w:type="character" w:customStyle="1" w:styleId="DONOTTRANSLATE">
    <w:name w:val="DO_NOT_TRANSLATE"/>
    <w:rsid w:val="00F700E4"/>
    <w:rPr>
      <w:rFonts w:ascii="Courier New" w:hAnsi="Courier New" w:cs="Courier New"/>
      <w:noProof/>
      <w:color w:val="800000"/>
    </w:rPr>
  </w:style>
  <w:style w:type="paragraph" w:styleId="NurText">
    <w:name w:val="Plain Text"/>
    <w:basedOn w:val="Standard"/>
    <w:link w:val="NurTextZchn"/>
    <w:uiPriority w:val="99"/>
    <w:unhideWhenUsed/>
    <w:rsid w:val="00B55633"/>
    <w:pPr>
      <w:spacing w:line="240" w:lineRule="auto"/>
    </w:pPr>
    <w:rPr>
      <w:rFonts w:ascii="Consolas" w:eastAsia="Calibri" w:hAnsi="Consolas" w:cs="Times New Roman"/>
      <w:snapToGrid/>
      <w:sz w:val="21"/>
      <w:szCs w:val="21"/>
      <w:lang w:val="de-AT" w:eastAsia="en-US"/>
    </w:rPr>
  </w:style>
  <w:style w:type="character" w:customStyle="1" w:styleId="NurTextZchn">
    <w:name w:val="Nur Text Zchn"/>
    <w:basedOn w:val="Absatz-Standardschriftart"/>
    <w:link w:val="NurText"/>
    <w:uiPriority w:val="99"/>
    <w:rsid w:val="00B55633"/>
    <w:rPr>
      <w:rFonts w:ascii="Consolas" w:eastAsia="Calibri" w:hAnsi="Consolas" w:cs="Times New Roman"/>
      <w:sz w:val="21"/>
      <w:szCs w:val="21"/>
      <w:lang w:eastAsia="en-US"/>
    </w:rPr>
  </w:style>
  <w:style w:type="character" w:styleId="Hervorhebung">
    <w:name w:val="Emphasis"/>
    <w:basedOn w:val="Absatz-Standardschriftart"/>
    <w:uiPriority w:val="20"/>
    <w:qFormat/>
    <w:rsid w:val="008B1362"/>
    <w:rPr>
      <w:i/>
      <w:iCs/>
    </w:rPr>
  </w:style>
  <w:style w:type="paragraph" w:styleId="Listenabsatz">
    <w:name w:val="List Paragraph"/>
    <w:aliases w:val="Paragraphe EI,Paragraphe de liste1,EC,List Paragraph Main,List first level"/>
    <w:basedOn w:val="Standard"/>
    <w:link w:val="ListenabsatzZchn"/>
    <w:uiPriority w:val="34"/>
    <w:qFormat/>
    <w:rsid w:val="00CD2A67"/>
    <w:pPr>
      <w:ind w:left="720"/>
      <w:contextualSpacing/>
    </w:pPr>
  </w:style>
  <w:style w:type="paragraph" w:styleId="StandardWeb">
    <w:name w:val="Normal (Web)"/>
    <w:basedOn w:val="Standard"/>
    <w:uiPriority w:val="99"/>
    <w:unhideWhenUsed/>
    <w:rsid w:val="00B63C71"/>
    <w:pPr>
      <w:spacing w:before="100" w:beforeAutospacing="1" w:after="100" w:afterAutospacing="1" w:line="240" w:lineRule="auto"/>
    </w:pPr>
    <w:rPr>
      <w:rFonts w:ascii="Times New Roman" w:eastAsiaTheme="minorHAnsi" w:hAnsi="Times New Roman" w:cs="Times New Roman"/>
      <w:snapToGrid/>
      <w:sz w:val="24"/>
      <w:szCs w:val="24"/>
      <w:lang w:val="de-AT"/>
    </w:rPr>
  </w:style>
  <w:style w:type="character" w:styleId="Fett">
    <w:name w:val="Strong"/>
    <w:basedOn w:val="Absatz-Standardschriftart"/>
    <w:uiPriority w:val="22"/>
    <w:qFormat/>
    <w:rsid w:val="00B63C71"/>
    <w:rPr>
      <w:b/>
      <w:bCs/>
    </w:rPr>
  </w:style>
  <w:style w:type="character" w:customStyle="1" w:styleId="FuzeileZchn">
    <w:name w:val="Fußzeile Zchn"/>
    <w:basedOn w:val="Absatz-Standardschriftart"/>
    <w:link w:val="Fuzeile"/>
    <w:uiPriority w:val="99"/>
    <w:rsid w:val="00ED2466"/>
    <w:rPr>
      <w:rFonts w:ascii="Trebuchet MS" w:hAnsi="Trebuchet MS" w:cs="Trebuchet MS"/>
      <w:snapToGrid w:val="0"/>
      <w:sz w:val="22"/>
      <w:szCs w:val="22"/>
      <w:lang w:val="de-DE"/>
    </w:rPr>
  </w:style>
  <w:style w:type="character" w:styleId="Hyperlink">
    <w:name w:val="Hyperlink"/>
    <w:basedOn w:val="Absatz-Standardschriftart"/>
    <w:rsid w:val="005B3FB7"/>
    <w:rPr>
      <w:color w:val="0000FF" w:themeColor="hyperlink"/>
      <w:u w:val="single"/>
    </w:rPr>
  </w:style>
  <w:style w:type="paragraph" w:customStyle="1" w:styleId="Default">
    <w:name w:val="Default"/>
    <w:uiPriority w:val="99"/>
    <w:rsid w:val="007755BF"/>
    <w:pPr>
      <w:widowControl w:val="0"/>
      <w:autoSpaceDE w:val="0"/>
      <w:autoSpaceDN w:val="0"/>
      <w:adjustRightInd w:val="0"/>
    </w:pPr>
    <w:rPr>
      <w:rFonts w:ascii="Arial" w:eastAsiaTheme="minorHAnsi" w:hAnsi="Arial" w:cs="Arial"/>
      <w:color w:val="000000"/>
      <w:sz w:val="24"/>
      <w:szCs w:val="24"/>
      <w:lang w:val="de-DE" w:eastAsia="en-US"/>
    </w:rPr>
  </w:style>
  <w:style w:type="character" w:customStyle="1" w:styleId="ListenabsatzZchn">
    <w:name w:val="Listenabsatz Zchn"/>
    <w:aliases w:val="Paragraphe EI Zchn,Paragraphe de liste1 Zchn,EC Zchn,List Paragraph Main Zchn,List first level Zchn"/>
    <w:link w:val="Listenabsatz"/>
    <w:uiPriority w:val="34"/>
    <w:rsid w:val="005C7948"/>
    <w:rPr>
      <w:rFonts w:ascii="Trebuchet MS" w:hAnsi="Trebuchet MS" w:cs="Trebuchet MS"/>
      <w:snapToGrid w:val="0"/>
      <w:sz w:val="22"/>
      <w:szCs w:val="22"/>
      <w:lang w:val="de-DE"/>
    </w:rPr>
  </w:style>
  <w:style w:type="character" w:customStyle="1" w:styleId="paragraph2">
    <w:name w:val="paragraph2"/>
    <w:basedOn w:val="Absatz-Standardschriftart"/>
    <w:rsid w:val="00C737BA"/>
    <w:rPr>
      <w:b w:val="0"/>
      <w:bCs w:val="0"/>
      <w:vanish w:val="0"/>
      <w:webHidden w:val="0"/>
      <w:sz w:val="18"/>
      <w:szCs w:val="18"/>
      <w:specVanish w:val="0"/>
    </w:rPr>
  </w:style>
  <w:style w:type="table" w:styleId="Tabellenraster">
    <w:name w:val="Table Grid"/>
    <w:basedOn w:val="NormaleTabelle"/>
    <w:uiPriority w:val="39"/>
    <w:rsid w:val="00E46914"/>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Zchn">
    <w:name w:val="Fußnotentext Zchn"/>
    <w:basedOn w:val="Absatz-Standardschriftart"/>
    <w:link w:val="Funotentext"/>
    <w:uiPriority w:val="99"/>
    <w:rsid w:val="001E1448"/>
    <w:rPr>
      <w:rFonts w:ascii="Trebuchet MS" w:hAnsi="Trebuchet MS" w:cs="Trebuchet MS"/>
      <w:snapToGrid w:val="0"/>
      <w:sz w:val="18"/>
      <w:szCs w:val="18"/>
      <w:lang w:val="de-DE"/>
    </w:rPr>
  </w:style>
  <w:style w:type="character" w:styleId="Funotenzeichen">
    <w:name w:val="footnote reference"/>
    <w:basedOn w:val="Absatz-Standardschriftart"/>
    <w:uiPriority w:val="99"/>
    <w:semiHidden/>
    <w:unhideWhenUsed/>
    <w:rsid w:val="001E14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54276874">
      <w:bodyDiv w:val="1"/>
      <w:marLeft w:val="0"/>
      <w:marRight w:val="0"/>
      <w:marTop w:val="0"/>
      <w:marBottom w:val="0"/>
      <w:divBdr>
        <w:top w:val="none" w:sz="0" w:space="0" w:color="auto"/>
        <w:left w:val="none" w:sz="0" w:space="0" w:color="auto"/>
        <w:bottom w:val="none" w:sz="0" w:space="0" w:color="auto"/>
        <w:right w:val="none" w:sz="0" w:space="0" w:color="auto"/>
      </w:divBdr>
    </w:div>
    <w:div w:id="78412682">
      <w:bodyDiv w:val="1"/>
      <w:marLeft w:val="0"/>
      <w:marRight w:val="0"/>
      <w:marTop w:val="0"/>
      <w:marBottom w:val="0"/>
      <w:divBdr>
        <w:top w:val="none" w:sz="0" w:space="0" w:color="auto"/>
        <w:left w:val="none" w:sz="0" w:space="0" w:color="auto"/>
        <w:bottom w:val="none" w:sz="0" w:space="0" w:color="auto"/>
        <w:right w:val="none" w:sz="0" w:space="0" w:color="auto"/>
      </w:divBdr>
    </w:div>
    <w:div w:id="117992046">
      <w:bodyDiv w:val="1"/>
      <w:marLeft w:val="0"/>
      <w:marRight w:val="0"/>
      <w:marTop w:val="0"/>
      <w:marBottom w:val="0"/>
      <w:divBdr>
        <w:top w:val="none" w:sz="0" w:space="0" w:color="auto"/>
        <w:left w:val="none" w:sz="0" w:space="0" w:color="auto"/>
        <w:bottom w:val="none" w:sz="0" w:space="0" w:color="auto"/>
        <w:right w:val="none" w:sz="0" w:space="0" w:color="auto"/>
      </w:divBdr>
    </w:div>
    <w:div w:id="161164005">
      <w:bodyDiv w:val="1"/>
      <w:marLeft w:val="0"/>
      <w:marRight w:val="0"/>
      <w:marTop w:val="0"/>
      <w:marBottom w:val="0"/>
      <w:divBdr>
        <w:top w:val="none" w:sz="0" w:space="0" w:color="auto"/>
        <w:left w:val="none" w:sz="0" w:space="0" w:color="auto"/>
        <w:bottom w:val="none" w:sz="0" w:space="0" w:color="auto"/>
        <w:right w:val="none" w:sz="0" w:space="0" w:color="auto"/>
      </w:divBdr>
    </w:div>
    <w:div w:id="198661731">
      <w:bodyDiv w:val="1"/>
      <w:marLeft w:val="0"/>
      <w:marRight w:val="0"/>
      <w:marTop w:val="0"/>
      <w:marBottom w:val="0"/>
      <w:divBdr>
        <w:top w:val="none" w:sz="0" w:space="0" w:color="auto"/>
        <w:left w:val="none" w:sz="0" w:space="0" w:color="auto"/>
        <w:bottom w:val="none" w:sz="0" w:space="0" w:color="auto"/>
        <w:right w:val="none" w:sz="0" w:space="0" w:color="auto"/>
      </w:divBdr>
    </w:div>
    <w:div w:id="224804073">
      <w:bodyDiv w:val="1"/>
      <w:marLeft w:val="0"/>
      <w:marRight w:val="0"/>
      <w:marTop w:val="0"/>
      <w:marBottom w:val="0"/>
      <w:divBdr>
        <w:top w:val="none" w:sz="0" w:space="0" w:color="auto"/>
        <w:left w:val="none" w:sz="0" w:space="0" w:color="auto"/>
        <w:bottom w:val="none" w:sz="0" w:space="0" w:color="auto"/>
        <w:right w:val="none" w:sz="0" w:space="0" w:color="auto"/>
      </w:divBdr>
    </w:div>
    <w:div w:id="234628101">
      <w:bodyDiv w:val="1"/>
      <w:marLeft w:val="0"/>
      <w:marRight w:val="0"/>
      <w:marTop w:val="0"/>
      <w:marBottom w:val="0"/>
      <w:divBdr>
        <w:top w:val="none" w:sz="0" w:space="0" w:color="auto"/>
        <w:left w:val="none" w:sz="0" w:space="0" w:color="auto"/>
        <w:bottom w:val="none" w:sz="0" w:space="0" w:color="auto"/>
        <w:right w:val="none" w:sz="0" w:space="0" w:color="auto"/>
      </w:divBdr>
    </w:div>
    <w:div w:id="302588301">
      <w:bodyDiv w:val="1"/>
      <w:marLeft w:val="0"/>
      <w:marRight w:val="0"/>
      <w:marTop w:val="0"/>
      <w:marBottom w:val="0"/>
      <w:divBdr>
        <w:top w:val="none" w:sz="0" w:space="0" w:color="auto"/>
        <w:left w:val="none" w:sz="0" w:space="0" w:color="auto"/>
        <w:bottom w:val="none" w:sz="0" w:space="0" w:color="auto"/>
        <w:right w:val="none" w:sz="0" w:space="0" w:color="auto"/>
      </w:divBdr>
    </w:div>
    <w:div w:id="337125047">
      <w:bodyDiv w:val="1"/>
      <w:marLeft w:val="0"/>
      <w:marRight w:val="0"/>
      <w:marTop w:val="0"/>
      <w:marBottom w:val="0"/>
      <w:divBdr>
        <w:top w:val="none" w:sz="0" w:space="0" w:color="auto"/>
        <w:left w:val="none" w:sz="0" w:space="0" w:color="auto"/>
        <w:bottom w:val="none" w:sz="0" w:space="0" w:color="auto"/>
        <w:right w:val="none" w:sz="0" w:space="0" w:color="auto"/>
      </w:divBdr>
    </w:div>
    <w:div w:id="351954080">
      <w:bodyDiv w:val="1"/>
      <w:marLeft w:val="0"/>
      <w:marRight w:val="0"/>
      <w:marTop w:val="0"/>
      <w:marBottom w:val="0"/>
      <w:divBdr>
        <w:top w:val="none" w:sz="0" w:space="0" w:color="auto"/>
        <w:left w:val="none" w:sz="0" w:space="0" w:color="auto"/>
        <w:bottom w:val="none" w:sz="0" w:space="0" w:color="auto"/>
        <w:right w:val="none" w:sz="0" w:space="0" w:color="auto"/>
      </w:divBdr>
    </w:div>
    <w:div w:id="427432364">
      <w:bodyDiv w:val="1"/>
      <w:marLeft w:val="0"/>
      <w:marRight w:val="0"/>
      <w:marTop w:val="0"/>
      <w:marBottom w:val="0"/>
      <w:divBdr>
        <w:top w:val="none" w:sz="0" w:space="0" w:color="auto"/>
        <w:left w:val="none" w:sz="0" w:space="0" w:color="auto"/>
        <w:bottom w:val="none" w:sz="0" w:space="0" w:color="auto"/>
        <w:right w:val="none" w:sz="0" w:space="0" w:color="auto"/>
      </w:divBdr>
    </w:div>
    <w:div w:id="450175200">
      <w:bodyDiv w:val="1"/>
      <w:marLeft w:val="0"/>
      <w:marRight w:val="0"/>
      <w:marTop w:val="0"/>
      <w:marBottom w:val="0"/>
      <w:divBdr>
        <w:top w:val="none" w:sz="0" w:space="0" w:color="auto"/>
        <w:left w:val="none" w:sz="0" w:space="0" w:color="auto"/>
        <w:bottom w:val="none" w:sz="0" w:space="0" w:color="auto"/>
        <w:right w:val="none" w:sz="0" w:space="0" w:color="auto"/>
      </w:divBdr>
    </w:div>
    <w:div w:id="464276662">
      <w:bodyDiv w:val="1"/>
      <w:marLeft w:val="0"/>
      <w:marRight w:val="0"/>
      <w:marTop w:val="0"/>
      <w:marBottom w:val="0"/>
      <w:divBdr>
        <w:top w:val="none" w:sz="0" w:space="0" w:color="auto"/>
        <w:left w:val="none" w:sz="0" w:space="0" w:color="auto"/>
        <w:bottom w:val="none" w:sz="0" w:space="0" w:color="auto"/>
        <w:right w:val="none" w:sz="0" w:space="0" w:color="auto"/>
      </w:divBdr>
    </w:div>
    <w:div w:id="537739201">
      <w:bodyDiv w:val="1"/>
      <w:marLeft w:val="0"/>
      <w:marRight w:val="0"/>
      <w:marTop w:val="0"/>
      <w:marBottom w:val="0"/>
      <w:divBdr>
        <w:top w:val="none" w:sz="0" w:space="0" w:color="auto"/>
        <w:left w:val="none" w:sz="0" w:space="0" w:color="auto"/>
        <w:bottom w:val="none" w:sz="0" w:space="0" w:color="auto"/>
        <w:right w:val="none" w:sz="0" w:space="0" w:color="auto"/>
      </w:divBdr>
    </w:div>
    <w:div w:id="546066532">
      <w:bodyDiv w:val="1"/>
      <w:marLeft w:val="0"/>
      <w:marRight w:val="0"/>
      <w:marTop w:val="0"/>
      <w:marBottom w:val="0"/>
      <w:divBdr>
        <w:top w:val="none" w:sz="0" w:space="0" w:color="auto"/>
        <w:left w:val="none" w:sz="0" w:space="0" w:color="auto"/>
        <w:bottom w:val="none" w:sz="0" w:space="0" w:color="auto"/>
        <w:right w:val="none" w:sz="0" w:space="0" w:color="auto"/>
      </w:divBdr>
    </w:div>
    <w:div w:id="601913484">
      <w:bodyDiv w:val="1"/>
      <w:marLeft w:val="0"/>
      <w:marRight w:val="0"/>
      <w:marTop w:val="0"/>
      <w:marBottom w:val="0"/>
      <w:divBdr>
        <w:top w:val="none" w:sz="0" w:space="0" w:color="auto"/>
        <w:left w:val="none" w:sz="0" w:space="0" w:color="auto"/>
        <w:bottom w:val="none" w:sz="0" w:space="0" w:color="auto"/>
        <w:right w:val="none" w:sz="0" w:space="0" w:color="auto"/>
      </w:divBdr>
    </w:div>
    <w:div w:id="609632108">
      <w:bodyDiv w:val="1"/>
      <w:marLeft w:val="0"/>
      <w:marRight w:val="0"/>
      <w:marTop w:val="0"/>
      <w:marBottom w:val="0"/>
      <w:divBdr>
        <w:top w:val="none" w:sz="0" w:space="0" w:color="auto"/>
        <w:left w:val="none" w:sz="0" w:space="0" w:color="auto"/>
        <w:bottom w:val="none" w:sz="0" w:space="0" w:color="auto"/>
        <w:right w:val="none" w:sz="0" w:space="0" w:color="auto"/>
      </w:divBdr>
    </w:div>
    <w:div w:id="674309752">
      <w:bodyDiv w:val="1"/>
      <w:marLeft w:val="0"/>
      <w:marRight w:val="0"/>
      <w:marTop w:val="0"/>
      <w:marBottom w:val="0"/>
      <w:divBdr>
        <w:top w:val="none" w:sz="0" w:space="0" w:color="auto"/>
        <w:left w:val="none" w:sz="0" w:space="0" w:color="auto"/>
        <w:bottom w:val="none" w:sz="0" w:space="0" w:color="auto"/>
        <w:right w:val="none" w:sz="0" w:space="0" w:color="auto"/>
      </w:divBdr>
    </w:div>
    <w:div w:id="678191585">
      <w:bodyDiv w:val="1"/>
      <w:marLeft w:val="0"/>
      <w:marRight w:val="0"/>
      <w:marTop w:val="0"/>
      <w:marBottom w:val="0"/>
      <w:divBdr>
        <w:top w:val="none" w:sz="0" w:space="0" w:color="auto"/>
        <w:left w:val="none" w:sz="0" w:space="0" w:color="auto"/>
        <w:bottom w:val="none" w:sz="0" w:space="0" w:color="auto"/>
        <w:right w:val="none" w:sz="0" w:space="0" w:color="auto"/>
      </w:divBdr>
    </w:div>
    <w:div w:id="769204917">
      <w:bodyDiv w:val="1"/>
      <w:marLeft w:val="0"/>
      <w:marRight w:val="0"/>
      <w:marTop w:val="0"/>
      <w:marBottom w:val="0"/>
      <w:divBdr>
        <w:top w:val="none" w:sz="0" w:space="0" w:color="auto"/>
        <w:left w:val="none" w:sz="0" w:space="0" w:color="auto"/>
        <w:bottom w:val="none" w:sz="0" w:space="0" w:color="auto"/>
        <w:right w:val="none" w:sz="0" w:space="0" w:color="auto"/>
      </w:divBdr>
    </w:div>
    <w:div w:id="771054331">
      <w:bodyDiv w:val="1"/>
      <w:marLeft w:val="0"/>
      <w:marRight w:val="0"/>
      <w:marTop w:val="0"/>
      <w:marBottom w:val="0"/>
      <w:divBdr>
        <w:top w:val="none" w:sz="0" w:space="0" w:color="auto"/>
        <w:left w:val="none" w:sz="0" w:space="0" w:color="auto"/>
        <w:bottom w:val="none" w:sz="0" w:space="0" w:color="auto"/>
        <w:right w:val="none" w:sz="0" w:space="0" w:color="auto"/>
      </w:divBdr>
    </w:div>
    <w:div w:id="815998986">
      <w:bodyDiv w:val="1"/>
      <w:marLeft w:val="0"/>
      <w:marRight w:val="0"/>
      <w:marTop w:val="0"/>
      <w:marBottom w:val="0"/>
      <w:divBdr>
        <w:top w:val="none" w:sz="0" w:space="0" w:color="auto"/>
        <w:left w:val="none" w:sz="0" w:space="0" w:color="auto"/>
        <w:bottom w:val="none" w:sz="0" w:space="0" w:color="auto"/>
        <w:right w:val="none" w:sz="0" w:space="0" w:color="auto"/>
      </w:divBdr>
    </w:div>
    <w:div w:id="855340421">
      <w:bodyDiv w:val="1"/>
      <w:marLeft w:val="0"/>
      <w:marRight w:val="0"/>
      <w:marTop w:val="0"/>
      <w:marBottom w:val="0"/>
      <w:divBdr>
        <w:top w:val="none" w:sz="0" w:space="0" w:color="auto"/>
        <w:left w:val="none" w:sz="0" w:space="0" w:color="auto"/>
        <w:bottom w:val="none" w:sz="0" w:space="0" w:color="auto"/>
        <w:right w:val="none" w:sz="0" w:space="0" w:color="auto"/>
      </w:divBdr>
    </w:div>
    <w:div w:id="862595549">
      <w:bodyDiv w:val="1"/>
      <w:marLeft w:val="0"/>
      <w:marRight w:val="0"/>
      <w:marTop w:val="0"/>
      <w:marBottom w:val="0"/>
      <w:divBdr>
        <w:top w:val="none" w:sz="0" w:space="0" w:color="auto"/>
        <w:left w:val="none" w:sz="0" w:space="0" w:color="auto"/>
        <w:bottom w:val="none" w:sz="0" w:space="0" w:color="auto"/>
        <w:right w:val="none" w:sz="0" w:space="0" w:color="auto"/>
      </w:divBdr>
    </w:div>
    <w:div w:id="883759583">
      <w:bodyDiv w:val="1"/>
      <w:marLeft w:val="0"/>
      <w:marRight w:val="0"/>
      <w:marTop w:val="0"/>
      <w:marBottom w:val="0"/>
      <w:divBdr>
        <w:top w:val="none" w:sz="0" w:space="0" w:color="auto"/>
        <w:left w:val="none" w:sz="0" w:space="0" w:color="auto"/>
        <w:bottom w:val="none" w:sz="0" w:space="0" w:color="auto"/>
        <w:right w:val="none" w:sz="0" w:space="0" w:color="auto"/>
      </w:divBdr>
    </w:div>
    <w:div w:id="903637825">
      <w:bodyDiv w:val="1"/>
      <w:marLeft w:val="0"/>
      <w:marRight w:val="0"/>
      <w:marTop w:val="0"/>
      <w:marBottom w:val="0"/>
      <w:divBdr>
        <w:top w:val="none" w:sz="0" w:space="0" w:color="auto"/>
        <w:left w:val="none" w:sz="0" w:space="0" w:color="auto"/>
        <w:bottom w:val="none" w:sz="0" w:space="0" w:color="auto"/>
        <w:right w:val="none" w:sz="0" w:space="0" w:color="auto"/>
      </w:divBdr>
    </w:div>
    <w:div w:id="911503274">
      <w:bodyDiv w:val="1"/>
      <w:marLeft w:val="0"/>
      <w:marRight w:val="0"/>
      <w:marTop w:val="0"/>
      <w:marBottom w:val="0"/>
      <w:divBdr>
        <w:top w:val="none" w:sz="0" w:space="0" w:color="auto"/>
        <w:left w:val="none" w:sz="0" w:space="0" w:color="auto"/>
        <w:bottom w:val="none" w:sz="0" w:space="0" w:color="auto"/>
        <w:right w:val="none" w:sz="0" w:space="0" w:color="auto"/>
      </w:divBdr>
    </w:div>
    <w:div w:id="914778966">
      <w:bodyDiv w:val="1"/>
      <w:marLeft w:val="0"/>
      <w:marRight w:val="0"/>
      <w:marTop w:val="0"/>
      <w:marBottom w:val="0"/>
      <w:divBdr>
        <w:top w:val="none" w:sz="0" w:space="0" w:color="auto"/>
        <w:left w:val="none" w:sz="0" w:space="0" w:color="auto"/>
        <w:bottom w:val="none" w:sz="0" w:space="0" w:color="auto"/>
        <w:right w:val="none" w:sz="0" w:space="0" w:color="auto"/>
      </w:divBdr>
    </w:div>
    <w:div w:id="958217177">
      <w:bodyDiv w:val="1"/>
      <w:marLeft w:val="0"/>
      <w:marRight w:val="0"/>
      <w:marTop w:val="0"/>
      <w:marBottom w:val="0"/>
      <w:divBdr>
        <w:top w:val="none" w:sz="0" w:space="0" w:color="auto"/>
        <w:left w:val="none" w:sz="0" w:space="0" w:color="auto"/>
        <w:bottom w:val="none" w:sz="0" w:space="0" w:color="auto"/>
        <w:right w:val="none" w:sz="0" w:space="0" w:color="auto"/>
      </w:divBdr>
    </w:div>
    <w:div w:id="971325675">
      <w:bodyDiv w:val="1"/>
      <w:marLeft w:val="0"/>
      <w:marRight w:val="0"/>
      <w:marTop w:val="0"/>
      <w:marBottom w:val="0"/>
      <w:divBdr>
        <w:top w:val="none" w:sz="0" w:space="0" w:color="auto"/>
        <w:left w:val="none" w:sz="0" w:space="0" w:color="auto"/>
        <w:bottom w:val="none" w:sz="0" w:space="0" w:color="auto"/>
        <w:right w:val="none" w:sz="0" w:space="0" w:color="auto"/>
      </w:divBdr>
    </w:div>
    <w:div w:id="978919423">
      <w:bodyDiv w:val="1"/>
      <w:marLeft w:val="0"/>
      <w:marRight w:val="0"/>
      <w:marTop w:val="0"/>
      <w:marBottom w:val="0"/>
      <w:divBdr>
        <w:top w:val="none" w:sz="0" w:space="0" w:color="auto"/>
        <w:left w:val="none" w:sz="0" w:space="0" w:color="auto"/>
        <w:bottom w:val="none" w:sz="0" w:space="0" w:color="auto"/>
        <w:right w:val="none" w:sz="0" w:space="0" w:color="auto"/>
      </w:divBdr>
    </w:div>
    <w:div w:id="1006325011">
      <w:bodyDiv w:val="1"/>
      <w:marLeft w:val="0"/>
      <w:marRight w:val="0"/>
      <w:marTop w:val="0"/>
      <w:marBottom w:val="0"/>
      <w:divBdr>
        <w:top w:val="none" w:sz="0" w:space="0" w:color="auto"/>
        <w:left w:val="none" w:sz="0" w:space="0" w:color="auto"/>
        <w:bottom w:val="none" w:sz="0" w:space="0" w:color="auto"/>
        <w:right w:val="none" w:sz="0" w:space="0" w:color="auto"/>
      </w:divBdr>
    </w:div>
    <w:div w:id="1087001069">
      <w:bodyDiv w:val="1"/>
      <w:marLeft w:val="0"/>
      <w:marRight w:val="0"/>
      <w:marTop w:val="0"/>
      <w:marBottom w:val="0"/>
      <w:divBdr>
        <w:top w:val="none" w:sz="0" w:space="0" w:color="auto"/>
        <w:left w:val="none" w:sz="0" w:space="0" w:color="auto"/>
        <w:bottom w:val="none" w:sz="0" w:space="0" w:color="auto"/>
        <w:right w:val="none" w:sz="0" w:space="0" w:color="auto"/>
      </w:divBdr>
    </w:div>
    <w:div w:id="1107235512">
      <w:bodyDiv w:val="1"/>
      <w:marLeft w:val="0"/>
      <w:marRight w:val="0"/>
      <w:marTop w:val="0"/>
      <w:marBottom w:val="0"/>
      <w:divBdr>
        <w:top w:val="none" w:sz="0" w:space="0" w:color="auto"/>
        <w:left w:val="none" w:sz="0" w:space="0" w:color="auto"/>
        <w:bottom w:val="none" w:sz="0" w:space="0" w:color="auto"/>
        <w:right w:val="none" w:sz="0" w:space="0" w:color="auto"/>
      </w:divBdr>
      <w:divsChild>
        <w:div w:id="653029179">
          <w:marLeft w:val="0"/>
          <w:marRight w:val="0"/>
          <w:marTop w:val="0"/>
          <w:marBottom w:val="0"/>
          <w:divBdr>
            <w:top w:val="none" w:sz="0" w:space="0" w:color="auto"/>
            <w:left w:val="none" w:sz="0" w:space="0" w:color="auto"/>
            <w:bottom w:val="none" w:sz="0" w:space="0" w:color="auto"/>
            <w:right w:val="none" w:sz="0" w:space="0" w:color="auto"/>
          </w:divBdr>
          <w:divsChild>
            <w:div w:id="768431358">
              <w:marLeft w:val="0"/>
              <w:marRight w:val="0"/>
              <w:marTop w:val="0"/>
              <w:marBottom w:val="0"/>
              <w:divBdr>
                <w:top w:val="none" w:sz="0" w:space="0" w:color="auto"/>
                <w:left w:val="none" w:sz="0" w:space="0" w:color="auto"/>
                <w:bottom w:val="none" w:sz="0" w:space="0" w:color="auto"/>
                <w:right w:val="none" w:sz="0" w:space="0" w:color="auto"/>
              </w:divBdr>
              <w:divsChild>
                <w:div w:id="600725538">
                  <w:marLeft w:val="0"/>
                  <w:marRight w:val="0"/>
                  <w:marTop w:val="0"/>
                  <w:marBottom w:val="0"/>
                  <w:divBdr>
                    <w:top w:val="none" w:sz="0" w:space="0" w:color="auto"/>
                    <w:left w:val="none" w:sz="0" w:space="0" w:color="auto"/>
                    <w:bottom w:val="none" w:sz="0" w:space="0" w:color="auto"/>
                    <w:right w:val="none" w:sz="0" w:space="0" w:color="auto"/>
                  </w:divBdr>
                  <w:divsChild>
                    <w:div w:id="2102749636">
                      <w:marLeft w:val="0"/>
                      <w:marRight w:val="0"/>
                      <w:marTop w:val="0"/>
                      <w:marBottom w:val="0"/>
                      <w:divBdr>
                        <w:top w:val="none" w:sz="0" w:space="0" w:color="auto"/>
                        <w:left w:val="none" w:sz="0" w:space="0" w:color="auto"/>
                        <w:bottom w:val="none" w:sz="0" w:space="0" w:color="auto"/>
                        <w:right w:val="none" w:sz="0" w:space="0" w:color="auto"/>
                      </w:divBdr>
                      <w:divsChild>
                        <w:div w:id="665714901">
                          <w:marLeft w:val="0"/>
                          <w:marRight w:val="0"/>
                          <w:marTop w:val="0"/>
                          <w:marBottom w:val="0"/>
                          <w:divBdr>
                            <w:top w:val="none" w:sz="0" w:space="0" w:color="auto"/>
                            <w:left w:val="none" w:sz="0" w:space="0" w:color="auto"/>
                            <w:bottom w:val="none" w:sz="0" w:space="0" w:color="auto"/>
                            <w:right w:val="none" w:sz="0" w:space="0" w:color="auto"/>
                          </w:divBdr>
                          <w:divsChild>
                            <w:div w:id="2098938035">
                              <w:marLeft w:val="0"/>
                              <w:marRight w:val="0"/>
                              <w:marTop w:val="0"/>
                              <w:marBottom w:val="0"/>
                              <w:divBdr>
                                <w:top w:val="none" w:sz="0" w:space="0" w:color="auto"/>
                                <w:left w:val="none" w:sz="0" w:space="0" w:color="auto"/>
                                <w:bottom w:val="none" w:sz="0" w:space="0" w:color="auto"/>
                                <w:right w:val="none" w:sz="0" w:space="0" w:color="auto"/>
                              </w:divBdr>
                              <w:divsChild>
                                <w:div w:id="216280424">
                                  <w:marLeft w:val="0"/>
                                  <w:marRight w:val="0"/>
                                  <w:marTop w:val="30"/>
                                  <w:marBottom w:val="2250"/>
                                  <w:divBdr>
                                    <w:top w:val="none" w:sz="0" w:space="0" w:color="auto"/>
                                    <w:left w:val="none" w:sz="0" w:space="0" w:color="auto"/>
                                    <w:bottom w:val="none" w:sz="0" w:space="0" w:color="auto"/>
                                    <w:right w:val="none" w:sz="0" w:space="0" w:color="auto"/>
                                  </w:divBdr>
                                  <w:divsChild>
                                    <w:div w:id="87777170">
                                      <w:marLeft w:val="0"/>
                                      <w:marRight w:val="0"/>
                                      <w:marTop w:val="0"/>
                                      <w:marBottom w:val="0"/>
                                      <w:divBdr>
                                        <w:top w:val="none" w:sz="0" w:space="0" w:color="auto"/>
                                        <w:left w:val="none" w:sz="0" w:space="0" w:color="auto"/>
                                        <w:bottom w:val="none" w:sz="0" w:space="0" w:color="auto"/>
                                        <w:right w:val="none" w:sz="0" w:space="0" w:color="auto"/>
                                      </w:divBdr>
                                      <w:divsChild>
                                        <w:div w:id="139658020">
                                          <w:marLeft w:val="0"/>
                                          <w:marRight w:val="0"/>
                                          <w:marTop w:val="0"/>
                                          <w:marBottom w:val="0"/>
                                          <w:divBdr>
                                            <w:top w:val="none" w:sz="0" w:space="0" w:color="auto"/>
                                            <w:left w:val="none" w:sz="0" w:space="0" w:color="auto"/>
                                            <w:bottom w:val="none" w:sz="0" w:space="0" w:color="auto"/>
                                            <w:right w:val="none" w:sz="0" w:space="0" w:color="auto"/>
                                          </w:divBdr>
                                          <w:divsChild>
                                            <w:div w:id="1138648184">
                                              <w:marLeft w:val="0"/>
                                              <w:marRight w:val="0"/>
                                              <w:marTop w:val="0"/>
                                              <w:marBottom w:val="0"/>
                                              <w:divBdr>
                                                <w:top w:val="none" w:sz="0" w:space="0" w:color="auto"/>
                                                <w:left w:val="none" w:sz="0" w:space="0" w:color="auto"/>
                                                <w:bottom w:val="none" w:sz="0" w:space="0" w:color="auto"/>
                                                <w:right w:val="none" w:sz="0" w:space="0" w:color="auto"/>
                                              </w:divBdr>
                                              <w:divsChild>
                                                <w:div w:id="1187602043">
                                                  <w:marLeft w:val="0"/>
                                                  <w:marRight w:val="0"/>
                                                  <w:marTop w:val="0"/>
                                                  <w:marBottom w:val="0"/>
                                                  <w:divBdr>
                                                    <w:top w:val="none" w:sz="0" w:space="0" w:color="auto"/>
                                                    <w:left w:val="none" w:sz="0" w:space="0" w:color="auto"/>
                                                    <w:bottom w:val="none" w:sz="0" w:space="0" w:color="auto"/>
                                                    <w:right w:val="none" w:sz="0" w:space="0" w:color="auto"/>
                                                  </w:divBdr>
                                                  <w:divsChild>
                                                    <w:div w:id="355471183">
                                                      <w:marLeft w:val="0"/>
                                                      <w:marRight w:val="0"/>
                                                      <w:marTop w:val="150"/>
                                                      <w:marBottom w:val="375"/>
                                                      <w:divBdr>
                                                        <w:top w:val="none" w:sz="0" w:space="0" w:color="auto"/>
                                                        <w:left w:val="none" w:sz="0" w:space="0" w:color="auto"/>
                                                        <w:bottom w:val="none" w:sz="0" w:space="0" w:color="auto"/>
                                                        <w:right w:val="none" w:sz="0" w:space="0" w:color="auto"/>
                                                      </w:divBdr>
                                                      <w:divsChild>
                                                        <w:div w:id="747119842">
                                                          <w:marLeft w:val="0"/>
                                                          <w:marRight w:val="0"/>
                                                          <w:marTop w:val="0"/>
                                                          <w:marBottom w:val="0"/>
                                                          <w:divBdr>
                                                            <w:top w:val="none" w:sz="0" w:space="0" w:color="auto"/>
                                                            <w:left w:val="none" w:sz="0" w:space="0" w:color="auto"/>
                                                            <w:bottom w:val="none" w:sz="0" w:space="0" w:color="auto"/>
                                                            <w:right w:val="none" w:sz="0" w:space="0" w:color="auto"/>
                                                          </w:divBdr>
                                                          <w:divsChild>
                                                            <w:div w:id="503669558">
                                                              <w:marLeft w:val="0"/>
                                                              <w:marRight w:val="0"/>
                                                              <w:marTop w:val="0"/>
                                                              <w:marBottom w:val="120"/>
                                                              <w:divBdr>
                                                                <w:top w:val="none" w:sz="0" w:space="0" w:color="auto"/>
                                                                <w:left w:val="none" w:sz="0" w:space="0" w:color="auto"/>
                                                                <w:bottom w:val="none" w:sz="0" w:space="0" w:color="auto"/>
                                                                <w:right w:val="none" w:sz="0" w:space="0" w:color="auto"/>
                                                              </w:divBdr>
                                                              <w:divsChild>
                                                                <w:div w:id="1968126791">
                                                                  <w:marLeft w:val="0"/>
                                                                  <w:marRight w:val="0"/>
                                                                  <w:marTop w:val="0"/>
                                                                  <w:marBottom w:val="0"/>
                                                                  <w:divBdr>
                                                                    <w:top w:val="none" w:sz="0" w:space="0" w:color="auto"/>
                                                                    <w:left w:val="none" w:sz="0" w:space="0" w:color="auto"/>
                                                                    <w:bottom w:val="none" w:sz="0" w:space="0" w:color="auto"/>
                                                                    <w:right w:val="none" w:sz="0" w:space="0" w:color="auto"/>
                                                                  </w:divBdr>
                                                                  <w:divsChild>
                                                                    <w:div w:id="1031609305">
                                                                      <w:marLeft w:val="0"/>
                                                                      <w:marRight w:val="0"/>
                                                                      <w:marTop w:val="0"/>
                                                                      <w:marBottom w:val="0"/>
                                                                      <w:divBdr>
                                                                        <w:top w:val="none" w:sz="0" w:space="0" w:color="auto"/>
                                                                        <w:left w:val="none" w:sz="0" w:space="0" w:color="auto"/>
                                                                        <w:bottom w:val="none" w:sz="0" w:space="0" w:color="auto"/>
                                                                        <w:right w:val="none" w:sz="0" w:space="0" w:color="auto"/>
                                                                      </w:divBdr>
                                                                      <w:divsChild>
                                                                        <w:div w:id="695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075507">
      <w:bodyDiv w:val="1"/>
      <w:marLeft w:val="0"/>
      <w:marRight w:val="0"/>
      <w:marTop w:val="0"/>
      <w:marBottom w:val="0"/>
      <w:divBdr>
        <w:top w:val="none" w:sz="0" w:space="0" w:color="auto"/>
        <w:left w:val="none" w:sz="0" w:space="0" w:color="auto"/>
        <w:bottom w:val="none" w:sz="0" w:space="0" w:color="auto"/>
        <w:right w:val="none" w:sz="0" w:space="0" w:color="auto"/>
      </w:divBdr>
    </w:div>
    <w:div w:id="1175993054">
      <w:bodyDiv w:val="1"/>
      <w:marLeft w:val="0"/>
      <w:marRight w:val="0"/>
      <w:marTop w:val="0"/>
      <w:marBottom w:val="0"/>
      <w:divBdr>
        <w:top w:val="none" w:sz="0" w:space="0" w:color="auto"/>
        <w:left w:val="none" w:sz="0" w:space="0" w:color="auto"/>
        <w:bottom w:val="none" w:sz="0" w:space="0" w:color="auto"/>
        <w:right w:val="none" w:sz="0" w:space="0" w:color="auto"/>
      </w:divBdr>
    </w:div>
    <w:div w:id="1209225123">
      <w:bodyDiv w:val="1"/>
      <w:marLeft w:val="0"/>
      <w:marRight w:val="0"/>
      <w:marTop w:val="0"/>
      <w:marBottom w:val="0"/>
      <w:divBdr>
        <w:top w:val="none" w:sz="0" w:space="0" w:color="auto"/>
        <w:left w:val="none" w:sz="0" w:space="0" w:color="auto"/>
        <w:bottom w:val="none" w:sz="0" w:space="0" w:color="auto"/>
        <w:right w:val="none" w:sz="0" w:space="0" w:color="auto"/>
      </w:divBdr>
    </w:div>
    <w:div w:id="1210145135">
      <w:bodyDiv w:val="1"/>
      <w:marLeft w:val="0"/>
      <w:marRight w:val="0"/>
      <w:marTop w:val="0"/>
      <w:marBottom w:val="0"/>
      <w:divBdr>
        <w:top w:val="none" w:sz="0" w:space="0" w:color="auto"/>
        <w:left w:val="none" w:sz="0" w:space="0" w:color="auto"/>
        <w:bottom w:val="none" w:sz="0" w:space="0" w:color="auto"/>
        <w:right w:val="none" w:sz="0" w:space="0" w:color="auto"/>
      </w:divBdr>
    </w:div>
    <w:div w:id="1283347804">
      <w:bodyDiv w:val="1"/>
      <w:marLeft w:val="0"/>
      <w:marRight w:val="0"/>
      <w:marTop w:val="0"/>
      <w:marBottom w:val="0"/>
      <w:divBdr>
        <w:top w:val="none" w:sz="0" w:space="0" w:color="auto"/>
        <w:left w:val="none" w:sz="0" w:space="0" w:color="auto"/>
        <w:bottom w:val="none" w:sz="0" w:space="0" w:color="auto"/>
        <w:right w:val="none" w:sz="0" w:space="0" w:color="auto"/>
      </w:divBdr>
    </w:div>
    <w:div w:id="1375353865">
      <w:bodyDiv w:val="1"/>
      <w:marLeft w:val="0"/>
      <w:marRight w:val="0"/>
      <w:marTop w:val="0"/>
      <w:marBottom w:val="0"/>
      <w:divBdr>
        <w:top w:val="none" w:sz="0" w:space="0" w:color="auto"/>
        <w:left w:val="none" w:sz="0" w:space="0" w:color="auto"/>
        <w:bottom w:val="none" w:sz="0" w:space="0" w:color="auto"/>
        <w:right w:val="none" w:sz="0" w:space="0" w:color="auto"/>
      </w:divBdr>
    </w:div>
    <w:div w:id="1401950921">
      <w:bodyDiv w:val="1"/>
      <w:marLeft w:val="0"/>
      <w:marRight w:val="0"/>
      <w:marTop w:val="0"/>
      <w:marBottom w:val="0"/>
      <w:divBdr>
        <w:top w:val="none" w:sz="0" w:space="0" w:color="auto"/>
        <w:left w:val="none" w:sz="0" w:space="0" w:color="auto"/>
        <w:bottom w:val="none" w:sz="0" w:space="0" w:color="auto"/>
        <w:right w:val="none" w:sz="0" w:space="0" w:color="auto"/>
      </w:divBdr>
    </w:div>
    <w:div w:id="1436289696">
      <w:bodyDiv w:val="1"/>
      <w:marLeft w:val="0"/>
      <w:marRight w:val="0"/>
      <w:marTop w:val="0"/>
      <w:marBottom w:val="0"/>
      <w:divBdr>
        <w:top w:val="none" w:sz="0" w:space="0" w:color="auto"/>
        <w:left w:val="none" w:sz="0" w:space="0" w:color="auto"/>
        <w:bottom w:val="none" w:sz="0" w:space="0" w:color="auto"/>
        <w:right w:val="none" w:sz="0" w:space="0" w:color="auto"/>
      </w:divBdr>
    </w:div>
    <w:div w:id="1538153191">
      <w:bodyDiv w:val="1"/>
      <w:marLeft w:val="0"/>
      <w:marRight w:val="0"/>
      <w:marTop w:val="0"/>
      <w:marBottom w:val="0"/>
      <w:divBdr>
        <w:top w:val="none" w:sz="0" w:space="0" w:color="auto"/>
        <w:left w:val="none" w:sz="0" w:space="0" w:color="auto"/>
        <w:bottom w:val="none" w:sz="0" w:space="0" w:color="auto"/>
        <w:right w:val="none" w:sz="0" w:space="0" w:color="auto"/>
      </w:divBdr>
    </w:div>
    <w:div w:id="1572078641">
      <w:bodyDiv w:val="1"/>
      <w:marLeft w:val="0"/>
      <w:marRight w:val="0"/>
      <w:marTop w:val="0"/>
      <w:marBottom w:val="0"/>
      <w:divBdr>
        <w:top w:val="none" w:sz="0" w:space="0" w:color="auto"/>
        <w:left w:val="none" w:sz="0" w:space="0" w:color="auto"/>
        <w:bottom w:val="none" w:sz="0" w:space="0" w:color="auto"/>
        <w:right w:val="none" w:sz="0" w:space="0" w:color="auto"/>
      </w:divBdr>
    </w:div>
    <w:div w:id="1581714927">
      <w:bodyDiv w:val="1"/>
      <w:marLeft w:val="0"/>
      <w:marRight w:val="0"/>
      <w:marTop w:val="0"/>
      <w:marBottom w:val="0"/>
      <w:divBdr>
        <w:top w:val="none" w:sz="0" w:space="0" w:color="auto"/>
        <w:left w:val="none" w:sz="0" w:space="0" w:color="auto"/>
        <w:bottom w:val="none" w:sz="0" w:space="0" w:color="auto"/>
        <w:right w:val="none" w:sz="0" w:space="0" w:color="auto"/>
      </w:divBdr>
    </w:div>
    <w:div w:id="1606305908">
      <w:bodyDiv w:val="1"/>
      <w:marLeft w:val="0"/>
      <w:marRight w:val="0"/>
      <w:marTop w:val="0"/>
      <w:marBottom w:val="0"/>
      <w:divBdr>
        <w:top w:val="none" w:sz="0" w:space="0" w:color="auto"/>
        <w:left w:val="none" w:sz="0" w:space="0" w:color="auto"/>
        <w:bottom w:val="none" w:sz="0" w:space="0" w:color="auto"/>
        <w:right w:val="none" w:sz="0" w:space="0" w:color="auto"/>
      </w:divBdr>
    </w:div>
    <w:div w:id="1660037952">
      <w:bodyDiv w:val="1"/>
      <w:marLeft w:val="0"/>
      <w:marRight w:val="0"/>
      <w:marTop w:val="0"/>
      <w:marBottom w:val="0"/>
      <w:divBdr>
        <w:top w:val="none" w:sz="0" w:space="0" w:color="auto"/>
        <w:left w:val="none" w:sz="0" w:space="0" w:color="auto"/>
        <w:bottom w:val="none" w:sz="0" w:space="0" w:color="auto"/>
        <w:right w:val="none" w:sz="0" w:space="0" w:color="auto"/>
      </w:divBdr>
    </w:div>
    <w:div w:id="1784765544">
      <w:bodyDiv w:val="1"/>
      <w:marLeft w:val="0"/>
      <w:marRight w:val="0"/>
      <w:marTop w:val="0"/>
      <w:marBottom w:val="0"/>
      <w:divBdr>
        <w:top w:val="none" w:sz="0" w:space="0" w:color="auto"/>
        <w:left w:val="none" w:sz="0" w:space="0" w:color="auto"/>
        <w:bottom w:val="none" w:sz="0" w:space="0" w:color="auto"/>
        <w:right w:val="none" w:sz="0" w:space="0" w:color="auto"/>
      </w:divBdr>
    </w:div>
    <w:div w:id="1832208781">
      <w:bodyDiv w:val="1"/>
      <w:marLeft w:val="0"/>
      <w:marRight w:val="0"/>
      <w:marTop w:val="0"/>
      <w:marBottom w:val="0"/>
      <w:divBdr>
        <w:top w:val="none" w:sz="0" w:space="0" w:color="auto"/>
        <w:left w:val="none" w:sz="0" w:space="0" w:color="auto"/>
        <w:bottom w:val="none" w:sz="0" w:space="0" w:color="auto"/>
        <w:right w:val="none" w:sz="0" w:space="0" w:color="auto"/>
      </w:divBdr>
    </w:div>
    <w:div w:id="1841189066">
      <w:bodyDiv w:val="1"/>
      <w:marLeft w:val="0"/>
      <w:marRight w:val="0"/>
      <w:marTop w:val="0"/>
      <w:marBottom w:val="0"/>
      <w:divBdr>
        <w:top w:val="none" w:sz="0" w:space="0" w:color="auto"/>
        <w:left w:val="none" w:sz="0" w:space="0" w:color="auto"/>
        <w:bottom w:val="none" w:sz="0" w:space="0" w:color="auto"/>
        <w:right w:val="none" w:sz="0" w:space="0" w:color="auto"/>
      </w:divBdr>
    </w:div>
    <w:div w:id="1955208613">
      <w:bodyDiv w:val="1"/>
      <w:marLeft w:val="0"/>
      <w:marRight w:val="0"/>
      <w:marTop w:val="0"/>
      <w:marBottom w:val="0"/>
      <w:divBdr>
        <w:top w:val="none" w:sz="0" w:space="0" w:color="auto"/>
        <w:left w:val="none" w:sz="0" w:space="0" w:color="auto"/>
        <w:bottom w:val="none" w:sz="0" w:space="0" w:color="auto"/>
        <w:right w:val="none" w:sz="0" w:space="0" w:color="auto"/>
      </w:divBdr>
    </w:div>
    <w:div w:id="1970088177">
      <w:bodyDiv w:val="1"/>
      <w:marLeft w:val="0"/>
      <w:marRight w:val="0"/>
      <w:marTop w:val="0"/>
      <w:marBottom w:val="0"/>
      <w:divBdr>
        <w:top w:val="none" w:sz="0" w:space="0" w:color="auto"/>
        <w:left w:val="none" w:sz="0" w:space="0" w:color="auto"/>
        <w:bottom w:val="none" w:sz="0" w:space="0" w:color="auto"/>
        <w:right w:val="none" w:sz="0" w:space="0" w:color="auto"/>
      </w:divBdr>
    </w:div>
    <w:div w:id="1998993635">
      <w:bodyDiv w:val="1"/>
      <w:marLeft w:val="0"/>
      <w:marRight w:val="0"/>
      <w:marTop w:val="0"/>
      <w:marBottom w:val="0"/>
      <w:divBdr>
        <w:top w:val="none" w:sz="0" w:space="0" w:color="auto"/>
        <w:left w:val="none" w:sz="0" w:space="0" w:color="auto"/>
        <w:bottom w:val="none" w:sz="0" w:space="0" w:color="auto"/>
        <w:right w:val="none" w:sz="0" w:space="0" w:color="auto"/>
      </w:divBdr>
    </w:div>
    <w:div w:id="2025087811">
      <w:bodyDiv w:val="1"/>
      <w:marLeft w:val="0"/>
      <w:marRight w:val="0"/>
      <w:marTop w:val="0"/>
      <w:marBottom w:val="0"/>
      <w:divBdr>
        <w:top w:val="none" w:sz="0" w:space="0" w:color="auto"/>
        <w:left w:val="none" w:sz="0" w:space="0" w:color="auto"/>
        <w:bottom w:val="none" w:sz="0" w:space="0" w:color="auto"/>
        <w:right w:val="none" w:sz="0" w:space="0" w:color="auto"/>
      </w:divBdr>
    </w:div>
    <w:div w:id="21349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36A94-7EF0-47CD-80F9-8FC1BE1FB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5458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Translation: www.brainstorm.at</vt:lpstr>
    </vt:vector>
  </TitlesOfParts>
  <Company>Translation: www.brainstorm.at</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Translation: www.brainstorm.at</dc:title>
  <dc:creator>Manuela Bruck</dc:creator>
  <dc:description>Translation: www.brainstorm.at</dc:description>
  <cp:lastModifiedBy>Egger Bernhard, Dr, WKÖ BSBV</cp:lastModifiedBy>
  <cp:revision>3</cp:revision>
  <cp:lastPrinted>2015-09-30T08:11:00Z</cp:lastPrinted>
  <dcterms:created xsi:type="dcterms:W3CDTF">2021-01-29T14:57:00Z</dcterms:created>
  <dcterms:modified xsi:type="dcterms:W3CDTF">2021-01-29T15:18:00Z</dcterms:modified>
  <cp:category>Translation: www.brainstorm.at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ion">
    <vt:lpwstr>Translation: www.brainstorm.at</vt:lpwstr>
  </property>
</Properties>
</file>