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3E9" w:rsidRPr="006C03E9" w:rsidRDefault="006C03E9" w:rsidP="006C03E9">
      <w:pPr>
        <w:pBdr>
          <w:bottom w:val="single" w:sz="12" w:space="1" w:color="auto"/>
        </w:pBdr>
        <w:tabs>
          <w:tab w:val="left" w:pos="0"/>
        </w:tabs>
        <w:rPr>
          <w:rFonts w:asciiTheme="majorHAnsi" w:hAnsiTheme="majorHAnsi"/>
          <w:b/>
          <w:color w:val="007336"/>
          <w:sz w:val="16"/>
          <w:szCs w:val="16"/>
        </w:rPr>
      </w:pPr>
    </w:p>
    <w:p w:rsidR="00F60A0C" w:rsidRPr="00A83EFF" w:rsidRDefault="00A83EFF" w:rsidP="00A83EFF">
      <w:pPr>
        <w:pBdr>
          <w:bottom w:val="single" w:sz="12" w:space="1" w:color="auto"/>
        </w:pBdr>
        <w:tabs>
          <w:tab w:val="left" w:pos="0"/>
        </w:tabs>
        <w:jc w:val="center"/>
        <w:rPr>
          <w:rFonts w:asciiTheme="majorHAnsi" w:hAnsiTheme="majorHAnsi" w:cs="Arial"/>
          <w:b/>
          <w:color w:val="007336"/>
          <w:sz w:val="28"/>
          <w:szCs w:val="28"/>
        </w:rPr>
      </w:pPr>
      <w:r>
        <w:rPr>
          <w:rFonts w:asciiTheme="majorHAnsi" w:hAnsiTheme="majorHAnsi"/>
          <w:b/>
          <w:color w:val="007336"/>
          <w:sz w:val="28"/>
        </w:rPr>
        <w:t xml:space="preserve">DRAFT REGULATORY TECHNICAL </w:t>
      </w:r>
      <w:r w:rsidRPr="006C03E9">
        <w:rPr>
          <w:rFonts w:asciiTheme="majorHAnsi" w:hAnsiTheme="majorHAnsi"/>
          <w:b/>
          <w:color w:val="007336"/>
          <w:sz w:val="28"/>
        </w:rPr>
        <w:t>STANDARDS ON</w:t>
      </w:r>
      <w:r>
        <w:rPr>
          <w:rFonts w:asciiTheme="majorHAnsi" w:hAnsiTheme="majorHAnsi"/>
          <w:b/>
          <w:color w:val="007336"/>
          <w:sz w:val="28"/>
        </w:rPr>
        <w:t xml:space="preserve"> MATERIALITY </w:t>
      </w:r>
      <w:r w:rsidRPr="006C03E9">
        <w:rPr>
          <w:rFonts w:asciiTheme="majorHAnsi" w:hAnsiTheme="majorHAnsi"/>
          <w:b/>
          <w:color w:val="007336"/>
          <w:sz w:val="28"/>
        </w:rPr>
        <w:t>THRESHOLD</w:t>
      </w:r>
      <w:r>
        <w:rPr>
          <w:rFonts w:asciiTheme="majorHAnsi" w:hAnsiTheme="majorHAnsi"/>
          <w:b/>
          <w:color w:val="007336"/>
          <w:sz w:val="28"/>
        </w:rPr>
        <w:t xml:space="preserve"> OF CREDIT </w:t>
      </w:r>
      <w:r w:rsidRPr="006C03E9">
        <w:rPr>
          <w:rFonts w:asciiTheme="majorHAnsi" w:hAnsiTheme="majorHAnsi"/>
          <w:b/>
          <w:color w:val="007336"/>
          <w:sz w:val="28"/>
        </w:rPr>
        <w:t>OBLIGATION</w:t>
      </w:r>
      <w:r>
        <w:rPr>
          <w:rFonts w:asciiTheme="majorHAnsi" w:hAnsiTheme="majorHAnsi"/>
          <w:b/>
          <w:color w:val="007336"/>
          <w:sz w:val="28"/>
        </w:rPr>
        <w:t xml:space="preserve"> PAST DUE UNDER ARTICLE 178 OF REGULATION (EU) 575/2013</w:t>
      </w:r>
    </w:p>
    <w:p w:rsidR="00845F04" w:rsidRPr="00A83EFF" w:rsidRDefault="00845F04" w:rsidP="00845F04">
      <w:pPr>
        <w:pBdr>
          <w:bottom w:val="single" w:sz="12" w:space="1" w:color="auto"/>
        </w:pBdr>
        <w:tabs>
          <w:tab w:val="left" w:pos="0"/>
        </w:tabs>
        <w:rPr>
          <w:rFonts w:asciiTheme="majorHAnsi" w:hAnsiTheme="majorHAnsi" w:cs="Arial"/>
        </w:rPr>
      </w:pPr>
    </w:p>
    <w:p w:rsidR="00F60A0C" w:rsidRDefault="00F60A0C" w:rsidP="00F60A0C">
      <w:pPr>
        <w:tabs>
          <w:tab w:val="left" w:pos="426"/>
        </w:tabs>
        <w:jc w:val="both"/>
        <w:rPr>
          <w:rFonts w:asciiTheme="majorHAnsi" w:hAnsiTheme="majorHAnsi" w:cs="Arial"/>
          <w:color w:val="000000"/>
        </w:rPr>
      </w:pPr>
    </w:p>
    <w:p w:rsidR="00A83EFF" w:rsidRPr="00A83EFF" w:rsidRDefault="00A83EFF" w:rsidP="00A83EFF">
      <w:pPr>
        <w:tabs>
          <w:tab w:val="left" w:pos="426"/>
        </w:tabs>
        <w:jc w:val="both"/>
        <w:rPr>
          <w:rFonts w:asciiTheme="majorHAnsi" w:hAnsiTheme="majorHAnsi" w:cs="Arial"/>
          <w:color w:val="000000"/>
        </w:rPr>
      </w:pPr>
      <w:r>
        <w:rPr>
          <w:rFonts w:asciiTheme="majorHAnsi" w:hAnsiTheme="majorHAnsi"/>
          <w:color w:val="000000"/>
        </w:rPr>
        <w:t>The AEB is grateful for the opportunity to comment on the consultative document on materiality thresholds of past due credit obligations, issued by the EBA on October 31, 2014.</w:t>
      </w:r>
    </w:p>
    <w:p w:rsidR="00A83EFF" w:rsidRPr="00A83EFF" w:rsidRDefault="00A83EFF" w:rsidP="00A83EFF">
      <w:pPr>
        <w:tabs>
          <w:tab w:val="left" w:pos="426"/>
        </w:tabs>
        <w:jc w:val="both"/>
        <w:rPr>
          <w:rFonts w:asciiTheme="majorHAnsi" w:hAnsiTheme="majorHAnsi" w:cs="Arial"/>
          <w:color w:val="000000"/>
        </w:rPr>
      </w:pPr>
    </w:p>
    <w:p w:rsidR="00A83EFF" w:rsidRDefault="00A83EFF" w:rsidP="00A83EFF">
      <w:pPr>
        <w:tabs>
          <w:tab w:val="left" w:pos="426"/>
        </w:tabs>
        <w:jc w:val="both"/>
        <w:rPr>
          <w:rFonts w:asciiTheme="majorHAnsi" w:hAnsiTheme="majorHAnsi"/>
          <w:color w:val="000000"/>
        </w:rPr>
      </w:pPr>
      <w:r>
        <w:rPr>
          <w:rFonts w:asciiTheme="majorHAnsi" w:hAnsiTheme="majorHAnsi"/>
          <w:color w:val="000000"/>
        </w:rPr>
        <w:t>The AEB agrees on the need for standard European materiality thresholds for defining past due exposures as in default, inasmuch as it will facilitate comparisons between institutions at the European level.</w:t>
      </w:r>
    </w:p>
    <w:p w:rsidR="00E23FED" w:rsidRDefault="00E23FED" w:rsidP="00A83EFF">
      <w:pPr>
        <w:tabs>
          <w:tab w:val="left" w:pos="426"/>
        </w:tabs>
        <w:jc w:val="both"/>
        <w:rPr>
          <w:rFonts w:asciiTheme="majorHAnsi" w:hAnsiTheme="majorHAnsi"/>
          <w:color w:val="000000"/>
        </w:rPr>
      </w:pPr>
    </w:p>
    <w:p w:rsidR="00E23FED" w:rsidRPr="00A83EFF" w:rsidRDefault="00E23FED" w:rsidP="00A83EFF">
      <w:pPr>
        <w:tabs>
          <w:tab w:val="left" w:pos="426"/>
        </w:tabs>
        <w:jc w:val="both"/>
        <w:rPr>
          <w:rFonts w:asciiTheme="majorHAnsi" w:hAnsiTheme="majorHAnsi" w:cs="Arial"/>
          <w:color w:val="000000"/>
        </w:rPr>
      </w:pPr>
      <w:r w:rsidRPr="00E23FED">
        <w:rPr>
          <w:rFonts w:asciiTheme="majorHAnsi" w:hAnsiTheme="majorHAnsi" w:cs="Arial"/>
          <w:color w:val="000000"/>
        </w:rPr>
        <w:t>In general terms, we share the views expressed by the European Banking Federation (EBF), however, we would like to convey our views on some aspects that are particularly relevant for Spanish banks.</w:t>
      </w:r>
    </w:p>
    <w:p w:rsidR="00A83EFF" w:rsidRPr="00A83EFF" w:rsidRDefault="00A83EFF" w:rsidP="00A83EFF">
      <w:pPr>
        <w:tabs>
          <w:tab w:val="left" w:pos="426"/>
        </w:tabs>
        <w:jc w:val="both"/>
        <w:rPr>
          <w:rFonts w:asciiTheme="majorHAnsi" w:hAnsiTheme="majorHAnsi" w:cs="Arial"/>
          <w:color w:val="000000"/>
        </w:rPr>
      </w:pPr>
    </w:p>
    <w:p w:rsidR="00A83EFF" w:rsidRPr="00A83EFF" w:rsidRDefault="00AC0A3C" w:rsidP="00A83EFF">
      <w:pPr>
        <w:tabs>
          <w:tab w:val="left" w:pos="426"/>
        </w:tabs>
        <w:jc w:val="both"/>
        <w:rPr>
          <w:rFonts w:asciiTheme="majorHAnsi" w:hAnsiTheme="majorHAnsi" w:cs="Arial"/>
          <w:color w:val="000000"/>
        </w:rPr>
      </w:pPr>
      <w:r>
        <w:rPr>
          <w:rFonts w:asciiTheme="majorHAnsi" w:hAnsiTheme="majorHAnsi"/>
          <w:color w:val="000000"/>
        </w:rPr>
        <w:t xml:space="preserve">The Spanish banks that we represent agree that option 2, recognition of default after both thresholds (absolute </w:t>
      </w:r>
      <w:r w:rsidR="009D7580">
        <w:rPr>
          <w:rFonts w:asciiTheme="majorHAnsi" w:hAnsiTheme="majorHAnsi"/>
          <w:color w:val="000000"/>
        </w:rPr>
        <w:t>and</w:t>
      </w:r>
      <w:r>
        <w:rPr>
          <w:rFonts w:asciiTheme="majorHAnsi" w:hAnsiTheme="majorHAnsi"/>
          <w:color w:val="000000"/>
        </w:rPr>
        <w:t xml:space="preserve"> relative limit) are breached</w:t>
      </w:r>
      <w:r w:rsidR="000B1C4C">
        <w:rPr>
          <w:rFonts w:asciiTheme="majorHAnsi" w:hAnsiTheme="majorHAnsi"/>
          <w:color w:val="000000"/>
        </w:rPr>
        <w:t xml:space="preserve"> </w:t>
      </w:r>
      <w:r w:rsidR="000B1C4C" w:rsidRPr="000B1C4C">
        <w:rPr>
          <w:rFonts w:asciiTheme="majorHAnsi" w:hAnsiTheme="majorHAnsi"/>
          <w:color w:val="000000"/>
        </w:rPr>
        <w:t>because it really leaves out virtually all cases of technical default, as intended, without representing any material departure from the general principle of computing all true defaults for regulatory modelling purposes</w:t>
      </w:r>
      <w:r w:rsidR="00285336">
        <w:rPr>
          <w:rFonts w:asciiTheme="majorHAnsi" w:hAnsiTheme="majorHAnsi"/>
          <w:color w:val="000000"/>
        </w:rPr>
        <w:t xml:space="preserve">. </w:t>
      </w:r>
      <w:r>
        <w:rPr>
          <w:rFonts w:asciiTheme="majorHAnsi" w:hAnsiTheme="majorHAnsi"/>
          <w:color w:val="000000"/>
        </w:rPr>
        <w:t xml:space="preserve">Nevertheless, </w:t>
      </w:r>
      <w:r w:rsidR="00E23FED">
        <w:rPr>
          <w:rFonts w:asciiTheme="majorHAnsi" w:hAnsiTheme="majorHAnsi"/>
          <w:color w:val="000000"/>
        </w:rPr>
        <w:t xml:space="preserve">in addition, </w:t>
      </w:r>
      <w:r>
        <w:rPr>
          <w:rFonts w:asciiTheme="majorHAnsi" w:hAnsiTheme="majorHAnsi"/>
          <w:color w:val="000000"/>
        </w:rPr>
        <w:t xml:space="preserve">we believe that several aspects should be borne in mind in defining the criteria. The most important are: </w:t>
      </w:r>
    </w:p>
    <w:p w:rsidR="00A83EFF" w:rsidRPr="00A83EFF" w:rsidRDefault="00A83EFF" w:rsidP="00A83EFF">
      <w:pPr>
        <w:tabs>
          <w:tab w:val="left" w:pos="426"/>
        </w:tabs>
        <w:jc w:val="both"/>
        <w:rPr>
          <w:rFonts w:asciiTheme="majorHAnsi" w:hAnsiTheme="majorHAnsi" w:cs="Arial"/>
          <w:color w:val="000000"/>
        </w:rPr>
      </w:pPr>
    </w:p>
    <w:p w:rsidR="00AC0A3C" w:rsidRPr="00E8570D" w:rsidRDefault="00A83EFF" w:rsidP="00E8570D">
      <w:pPr>
        <w:numPr>
          <w:ilvl w:val="0"/>
          <w:numId w:val="20"/>
        </w:numPr>
        <w:tabs>
          <w:tab w:val="left" w:pos="426"/>
        </w:tabs>
        <w:jc w:val="both"/>
        <w:rPr>
          <w:rFonts w:asciiTheme="majorHAnsi" w:hAnsiTheme="majorHAnsi" w:cs="Arial"/>
          <w:color w:val="000000"/>
        </w:rPr>
      </w:pPr>
      <w:r>
        <w:rPr>
          <w:rFonts w:asciiTheme="majorHAnsi" w:hAnsiTheme="majorHAnsi"/>
          <w:color w:val="000000"/>
        </w:rPr>
        <w:t>The absolute threshold</w:t>
      </w:r>
      <w:r w:rsidR="00D77054">
        <w:rPr>
          <w:rFonts w:asciiTheme="majorHAnsi" w:hAnsiTheme="majorHAnsi"/>
          <w:color w:val="000000"/>
        </w:rPr>
        <w:t>s</w:t>
      </w:r>
      <w:r w:rsidR="00E23FED">
        <w:rPr>
          <w:rFonts w:asciiTheme="majorHAnsi" w:hAnsiTheme="majorHAnsi"/>
          <w:color w:val="000000"/>
        </w:rPr>
        <w:t>, as proposed in the draft,</w:t>
      </w:r>
      <w:r>
        <w:rPr>
          <w:rFonts w:asciiTheme="majorHAnsi" w:hAnsiTheme="majorHAnsi"/>
          <w:color w:val="000000"/>
        </w:rPr>
        <w:t xml:space="preserve"> present certain limitations, as we explain below. </w:t>
      </w:r>
      <w:r w:rsidR="000B1C4C">
        <w:rPr>
          <w:rFonts w:asciiTheme="majorHAnsi" w:hAnsiTheme="majorHAnsi"/>
          <w:color w:val="000000"/>
        </w:rPr>
        <w:t xml:space="preserve">Additionally, </w:t>
      </w:r>
      <w:r w:rsidR="00697418" w:rsidRPr="00E8570D">
        <w:rPr>
          <w:rFonts w:asciiTheme="majorHAnsi" w:hAnsiTheme="majorHAnsi"/>
          <w:color w:val="000000"/>
        </w:rPr>
        <w:t>w</w:t>
      </w:r>
      <w:r w:rsidR="00E23FED" w:rsidRPr="00E8570D">
        <w:rPr>
          <w:rFonts w:asciiTheme="majorHAnsi" w:hAnsiTheme="majorHAnsi"/>
          <w:color w:val="000000"/>
        </w:rPr>
        <w:t>e believe that a</w:t>
      </w:r>
      <w:r w:rsidRPr="00E8570D">
        <w:rPr>
          <w:rFonts w:asciiTheme="majorHAnsi" w:hAnsiTheme="majorHAnsi"/>
          <w:color w:val="000000"/>
        </w:rPr>
        <w:t xml:space="preserve"> better approximation could be to define </w:t>
      </w:r>
      <w:r w:rsidR="00D77054" w:rsidRPr="00E8570D">
        <w:rPr>
          <w:rFonts w:asciiTheme="majorHAnsi" w:hAnsiTheme="majorHAnsi"/>
          <w:color w:val="000000"/>
        </w:rPr>
        <w:t>one</w:t>
      </w:r>
      <w:r w:rsidR="009D7580" w:rsidRPr="00E8570D">
        <w:rPr>
          <w:rFonts w:asciiTheme="majorHAnsi" w:hAnsiTheme="majorHAnsi"/>
          <w:color w:val="000000"/>
        </w:rPr>
        <w:t xml:space="preserve"> threshold </w:t>
      </w:r>
      <w:r w:rsidR="00D77054" w:rsidRPr="00E8570D">
        <w:rPr>
          <w:rFonts w:asciiTheme="majorHAnsi" w:hAnsiTheme="majorHAnsi"/>
          <w:color w:val="000000"/>
        </w:rPr>
        <w:t>f</w:t>
      </w:r>
      <w:r w:rsidR="009D7580" w:rsidRPr="00E8570D">
        <w:rPr>
          <w:rFonts w:asciiTheme="majorHAnsi" w:hAnsiTheme="majorHAnsi"/>
          <w:color w:val="000000"/>
        </w:rPr>
        <w:t xml:space="preserve">or each </w:t>
      </w:r>
      <w:r w:rsidR="00D77054" w:rsidRPr="00E8570D">
        <w:rPr>
          <w:rFonts w:asciiTheme="majorHAnsi" w:hAnsiTheme="majorHAnsi"/>
          <w:color w:val="000000"/>
        </w:rPr>
        <w:t>regulatory p</w:t>
      </w:r>
      <w:r w:rsidR="009D7580" w:rsidRPr="00E8570D">
        <w:rPr>
          <w:rFonts w:asciiTheme="majorHAnsi" w:hAnsiTheme="majorHAnsi"/>
          <w:color w:val="000000"/>
        </w:rPr>
        <w:t>ortfolio</w:t>
      </w:r>
      <w:r w:rsidR="000B1C4C" w:rsidRPr="00E8570D">
        <w:rPr>
          <w:rFonts w:asciiTheme="majorHAnsi" w:hAnsiTheme="majorHAnsi"/>
          <w:color w:val="000000"/>
        </w:rPr>
        <w:t xml:space="preserve"> (exposure class)</w:t>
      </w:r>
      <w:r w:rsidR="009D7580" w:rsidRPr="00E8570D">
        <w:rPr>
          <w:rFonts w:asciiTheme="majorHAnsi" w:hAnsiTheme="majorHAnsi"/>
          <w:color w:val="000000"/>
        </w:rPr>
        <w:t xml:space="preserve"> and </w:t>
      </w:r>
      <w:r w:rsidR="00D77054" w:rsidRPr="00E8570D">
        <w:rPr>
          <w:rFonts w:asciiTheme="majorHAnsi" w:hAnsiTheme="majorHAnsi"/>
          <w:color w:val="000000"/>
        </w:rPr>
        <w:t xml:space="preserve">that </w:t>
      </w:r>
      <w:r w:rsidR="009D7580" w:rsidRPr="00E8570D">
        <w:rPr>
          <w:rFonts w:asciiTheme="majorHAnsi" w:hAnsiTheme="majorHAnsi"/>
          <w:color w:val="000000"/>
        </w:rPr>
        <w:t xml:space="preserve">absolute thresholds should be higher than the ones proposed in the draft. </w:t>
      </w:r>
    </w:p>
    <w:p w:rsidR="00AC0A3C" w:rsidRDefault="00E23FED" w:rsidP="00AC0A3C">
      <w:pPr>
        <w:numPr>
          <w:ilvl w:val="0"/>
          <w:numId w:val="20"/>
        </w:numPr>
        <w:tabs>
          <w:tab w:val="left" w:pos="426"/>
        </w:tabs>
        <w:jc w:val="both"/>
        <w:rPr>
          <w:rFonts w:cs="Arial"/>
          <w:color w:val="000000"/>
        </w:rPr>
      </w:pPr>
      <w:r>
        <w:rPr>
          <w:rFonts w:asciiTheme="majorHAnsi" w:hAnsiTheme="majorHAnsi"/>
          <w:color w:val="000000"/>
        </w:rPr>
        <w:t>We consider necessary to include</w:t>
      </w:r>
      <w:r w:rsidR="00A83EFF">
        <w:rPr>
          <w:rFonts w:asciiTheme="majorHAnsi" w:hAnsiTheme="majorHAnsi"/>
          <w:color w:val="000000"/>
        </w:rPr>
        <w:t xml:space="preserve"> the</w:t>
      </w:r>
      <w:r w:rsidR="00D20EAD">
        <w:rPr>
          <w:rFonts w:asciiTheme="majorHAnsi" w:hAnsiTheme="majorHAnsi"/>
          <w:color w:val="000000"/>
        </w:rPr>
        <w:t xml:space="preserve"> </w:t>
      </w:r>
      <w:r w:rsidR="00A83EFF">
        <w:rPr>
          <w:rFonts w:asciiTheme="majorHAnsi" w:hAnsiTheme="majorHAnsi"/>
          <w:color w:val="000000"/>
        </w:rPr>
        <w:t>expert judgement in the materiality analysis</w:t>
      </w:r>
      <w:r w:rsidR="00823ACF">
        <w:rPr>
          <w:rFonts w:asciiTheme="majorHAnsi" w:hAnsiTheme="majorHAnsi"/>
          <w:color w:val="000000"/>
        </w:rPr>
        <w:t>.</w:t>
      </w:r>
    </w:p>
    <w:p w:rsidR="00AC0A3C" w:rsidRDefault="00E23FED" w:rsidP="00AC0A3C">
      <w:pPr>
        <w:numPr>
          <w:ilvl w:val="0"/>
          <w:numId w:val="20"/>
        </w:numPr>
        <w:tabs>
          <w:tab w:val="left" w:pos="426"/>
        </w:tabs>
        <w:jc w:val="both"/>
        <w:rPr>
          <w:rFonts w:cs="Arial"/>
          <w:color w:val="000000"/>
        </w:rPr>
      </w:pPr>
      <w:r>
        <w:rPr>
          <w:rFonts w:asciiTheme="majorHAnsi" w:hAnsiTheme="majorHAnsi"/>
          <w:color w:val="000000"/>
        </w:rPr>
        <w:t xml:space="preserve">It seems appropriate to allow institutions to hold, </w:t>
      </w:r>
      <w:r w:rsidR="00823ACF">
        <w:rPr>
          <w:rFonts w:asciiTheme="majorHAnsi" w:hAnsiTheme="majorHAnsi"/>
          <w:color w:val="000000"/>
        </w:rPr>
        <w:t>in a voluntary base</w:t>
      </w:r>
      <w:r>
        <w:rPr>
          <w:rFonts w:asciiTheme="majorHAnsi" w:hAnsiTheme="majorHAnsi"/>
          <w:color w:val="000000"/>
        </w:rPr>
        <w:t xml:space="preserve">, </w:t>
      </w:r>
      <w:r w:rsidR="00A83EFF">
        <w:rPr>
          <w:rFonts w:asciiTheme="majorHAnsi" w:hAnsiTheme="majorHAnsi"/>
          <w:color w:val="000000"/>
        </w:rPr>
        <w:t xml:space="preserve">more restrictive criteria than those </w:t>
      </w:r>
      <w:r w:rsidR="00097722">
        <w:rPr>
          <w:rFonts w:asciiTheme="majorHAnsi" w:hAnsiTheme="majorHAnsi"/>
          <w:color w:val="000000"/>
        </w:rPr>
        <w:t>held by</w:t>
      </w:r>
      <w:r w:rsidR="00D20EAD">
        <w:rPr>
          <w:rFonts w:asciiTheme="majorHAnsi" w:hAnsiTheme="majorHAnsi"/>
          <w:color w:val="000000"/>
        </w:rPr>
        <w:t xml:space="preserve"> </w:t>
      </w:r>
      <w:r w:rsidR="00A83EFF">
        <w:rPr>
          <w:rFonts w:asciiTheme="majorHAnsi" w:hAnsiTheme="majorHAnsi"/>
          <w:color w:val="000000"/>
        </w:rPr>
        <w:t>the RTS</w:t>
      </w:r>
      <w:r w:rsidR="00285336">
        <w:rPr>
          <w:rFonts w:asciiTheme="majorHAnsi" w:hAnsiTheme="majorHAnsi"/>
          <w:color w:val="000000"/>
        </w:rPr>
        <w:t>.</w:t>
      </w:r>
    </w:p>
    <w:p w:rsidR="00A76CF1" w:rsidRDefault="00A83EFF" w:rsidP="00A76CF1">
      <w:pPr>
        <w:numPr>
          <w:ilvl w:val="0"/>
          <w:numId w:val="20"/>
        </w:numPr>
        <w:tabs>
          <w:tab w:val="left" w:pos="426"/>
        </w:tabs>
        <w:jc w:val="both"/>
        <w:rPr>
          <w:rFonts w:asciiTheme="majorHAnsi" w:hAnsiTheme="majorHAnsi" w:cs="Arial"/>
          <w:color w:val="000000"/>
        </w:rPr>
      </w:pPr>
      <w:r>
        <w:rPr>
          <w:rFonts w:asciiTheme="majorHAnsi" w:hAnsiTheme="majorHAnsi"/>
          <w:color w:val="000000"/>
        </w:rPr>
        <w:t>Consideration of certain modifications in the definition of default as a non-</w:t>
      </w:r>
      <w:r w:rsidR="00E302BE">
        <w:rPr>
          <w:rFonts w:asciiTheme="majorHAnsi" w:hAnsiTheme="majorHAnsi"/>
          <w:color w:val="000000"/>
        </w:rPr>
        <w:t>material</w:t>
      </w:r>
      <w:r>
        <w:rPr>
          <w:rFonts w:asciiTheme="majorHAnsi" w:hAnsiTheme="majorHAnsi"/>
          <w:color w:val="000000"/>
        </w:rPr>
        <w:t xml:space="preserve"> change.</w:t>
      </w:r>
    </w:p>
    <w:p w:rsidR="00A76CF1" w:rsidRPr="00A76CF1" w:rsidRDefault="00A76CF1" w:rsidP="00A76CF1">
      <w:pPr>
        <w:tabs>
          <w:tab w:val="left" w:pos="426"/>
        </w:tabs>
        <w:jc w:val="both"/>
        <w:rPr>
          <w:rFonts w:asciiTheme="majorHAnsi" w:hAnsiTheme="majorHAnsi" w:cs="Arial"/>
          <w:color w:val="000000"/>
        </w:rPr>
      </w:pPr>
    </w:p>
    <w:p w:rsidR="00A83EFF" w:rsidRPr="00A83EFF" w:rsidRDefault="00A83EFF" w:rsidP="00A83EFF">
      <w:pPr>
        <w:tabs>
          <w:tab w:val="left" w:pos="426"/>
        </w:tabs>
        <w:jc w:val="both"/>
        <w:rPr>
          <w:rFonts w:asciiTheme="majorHAnsi" w:hAnsiTheme="majorHAnsi" w:cs="Arial"/>
          <w:color w:val="000000"/>
        </w:rPr>
      </w:pPr>
      <w:r>
        <w:rPr>
          <w:rFonts w:asciiTheme="majorHAnsi" w:hAnsiTheme="majorHAnsi"/>
          <w:color w:val="000000"/>
        </w:rPr>
        <w:t xml:space="preserve">More specifically: </w:t>
      </w:r>
    </w:p>
    <w:p w:rsidR="00A83EFF" w:rsidRPr="00A83EFF" w:rsidRDefault="00A83EFF" w:rsidP="00A83EFF">
      <w:pPr>
        <w:tabs>
          <w:tab w:val="left" w:pos="426"/>
        </w:tabs>
        <w:jc w:val="both"/>
        <w:rPr>
          <w:rFonts w:asciiTheme="majorHAnsi" w:hAnsiTheme="majorHAnsi" w:cs="Arial"/>
          <w:color w:val="000000"/>
        </w:rPr>
      </w:pPr>
    </w:p>
    <w:p w:rsidR="00A83EFF" w:rsidRPr="00A83EFF" w:rsidRDefault="00A83EFF" w:rsidP="00A83EFF">
      <w:pPr>
        <w:numPr>
          <w:ilvl w:val="0"/>
          <w:numId w:val="17"/>
        </w:numPr>
        <w:tabs>
          <w:tab w:val="left" w:pos="426"/>
        </w:tabs>
        <w:jc w:val="both"/>
        <w:rPr>
          <w:rFonts w:asciiTheme="majorHAnsi" w:hAnsiTheme="majorHAnsi" w:cs="Arial"/>
          <w:b/>
          <w:color w:val="000000"/>
        </w:rPr>
      </w:pPr>
      <w:r>
        <w:rPr>
          <w:rFonts w:asciiTheme="majorHAnsi" w:hAnsiTheme="majorHAnsi"/>
          <w:b/>
          <w:color w:val="000000"/>
        </w:rPr>
        <w:t>Establishment of thresholds</w:t>
      </w:r>
    </w:p>
    <w:p w:rsidR="00A83EFF" w:rsidRPr="00A83EFF" w:rsidRDefault="00A83EFF" w:rsidP="00A83EFF">
      <w:pPr>
        <w:tabs>
          <w:tab w:val="left" w:pos="426"/>
        </w:tabs>
        <w:jc w:val="both"/>
        <w:rPr>
          <w:rFonts w:asciiTheme="majorHAnsi" w:hAnsiTheme="majorHAnsi" w:cs="Arial"/>
          <w:color w:val="000000"/>
        </w:rPr>
      </w:pPr>
    </w:p>
    <w:p w:rsidR="00C52E0F" w:rsidRPr="00C52E0F" w:rsidRDefault="00C52E0F" w:rsidP="00A83EFF">
      <w:pPr>
        <w:tabs>
          <w:tab w:val="left" w:pos="426"/>
        </w:tabs>
        <w:jc w:val="both"/>
        <w:rPr>
          <w:rFonts w:asciiTheme="majorHAnsi" w:hAnsiTheme="majorHAnsi" w:cs="Arial"/>
          <w:color w:val="000000"/>
        </w:rPr>
      </w:pPr>
      <w:r>
        <w:rPr>
          <w:rFonts w:asciiTheme="majorHAnsi" w:hAnsiTheme="majorHAnsi"/>
          <w:color w:val="000000"/>
        </w:rPr>
        <w:t xml:space="preserve">The Spanish banks we represent agree that </w:t>
      </w:r>
      <w:r w:rsidRPr="00D92907">
        <w:rPr>
          <w:rFonts w:asciiTheme="majorHAnsi" w:hAnsiTheme="majorHAnsi" w:cs="Arial"/>
          <w:b/>
          <w:color w:val="000000"/>
        </w:rPr>
        <w:t xml:space="preserve">option 2, recognition of default after both thresholds (absolute </w:t>
      </w:r>
      <w:r w:rsidR="00823ACF">
        <w:rPr>
          <w:rFonts w:asciiTheme="majorHAnsi" w:hAnsiTheme="majorHAnsi" w:cs="Arial"/>
          <w:b/>
          <w:color w:val="000000"/>
        </w:rPr>
        <w:t>and</w:t>
      </w:r>
      <w:r w:rsidRPr="00D92907">
        <w:rPr>
          <w:rFonts w:asciiTheme="majorHAnsi" w:hAnsiTheme="majorHAnsi" w:cs="Arial"/>
          <w:b/>
          <w:color w:val="000000"/>
        </w:rPr>
        <w:t xml:space="preserve"> relative limit) are breached</w:t>
      </w:r>
      <w:r w:rsidR="000B1C4C">
        <w:rPr>
          <w:rFonts w:asciiTheme="majorHAnsi" w:hAnsiTheme="majorHAnsi" w:cs="Arial"/>
          <w:b/>
          <w:color w:val="000000"/>
        </w:rPr>
        <w:t xml:space="preserve"> </w:t>
      </w:r>
      <w:r w:rsidR="000B1C4C" w:rsidRPr="000B1C4C">
        <w:rPr>
          <w:rFonts w:asciiTheme="majorHAnsi" w:hAnsiTheme="majorHAnsi" w:cs="Arial"/>
          <w:b/>
          <w:color w:val="000000"/>
        </w:rPr>
        <w:t>because it really leaves out virtually all cases of technical default, as intended</w:t>
      </w:r>
      <w:r w:rsidR="00697418">
        <w:rPr>
          <w:rFonts w:asciiTheme="majorHAnsi" w:hAnsiTheme="majorHAnsi" w:cs="Arial"/>
          <w:color w:val="000000"/>
        </w:rPr>
        <w:t>.</w:t>
      </w:r>
    </w:p>
    <w:p w:rsidR="00C52E0F" w:rsidRDefault="00C52E0F" w:rsidP="00A83EFF">
      <w:pPr>
        <w:tabs>
          <w:tab w:val="left" w:pos="426"/>
        </w:tabs>
        <w:jc w:val="both"/>
        <w:rPr>
          <w:rFonts w:asciiTheme="majorHAnsi" w:hAnsiTheme="majorHAnsi"/>
          <w:color w:val="000000"/>
        </w:rPr>
      </w:pPr>
    </w:p>
    <w:p w:rsidR="00A83EFF" w:rsidRPr="00A83EFF" w:rsidRDefault="00A83EFF" w:rsidP="00A83EFF">
      <w:pPr>
        <w:tabs>
          <w:tab w:val="left" w:pos="426"/>
        </w:tabs>
        <w:jc w:val="both"/>
        <w:rPr>
          <w:rFonts w:asciiTheme="majorHAnsi" w:hAnsiTheme="majorHAnsi" w:cs="Arial"/>
          <w:color w:val="000000"/>
        </w:rPr>
      </w:pPr>
      <w:r>
        <w:rPr>
          <w:rFonts w:asciiTheme="majorHAnsi" w:hAnsiTheme="majorHAnsi"/>
          <w:color w:val="000000"/>
        </w:rPr>
        <w:t xml:space="preserve">In addition, we consider that there are several </w:t>
      </w:r>
      <w:r>
        <w:rPr>
          <w:rFonts w:asciiTheme="majorHAnsi" w:hAnsiTheme="majorHAnsi"/>
          <w:b/>
          <w:color w:val="000000"/>
        </w:rPr>
        <w:t>objections of a practical nature to the application</w:t>
      </w:r>
      <w:r>
        <w:rPr>
          <w:rFonts w:asciiTheme="majorHAnsi" w:hAnsiTheme="majorHAnsi"/>
          <w:color w:val="000000"/>
        </w:rPr>
        <w:t xml:space="preserve"> of </w:t>
      </w:r>
      <w:r>
        <w:rPr>
          <w:rFonts w:asciiTheme="majorHAnsi" w:hAnsiTheme="majorHAnsi"/>
          <w:b/>
          <w:color w:val="000000"/>
        </w:rPr>
        <w:t>absolute thresholds</w:t>
      </w:r>
      <w:r>
        <w:rPr>
          <w:rFonts w:asciiTheme="majorHAnsi" w:hAnsiTheme="majorHAnsi"/>
          <w:color w:val="000000"/>
        </w:rPr>
        <w:t>. The main ones are:</w:t>
      </w:r>
    </w:p>
    <w:p w:rsidR="00A83EFF" w:rsidRPr="00A83EFF" w:rsidRDefault="00A83EFF" w:rsidP="00A83EFF">
      <w:pPr>
        <w:tabs>
          <w:tab w:val="left" w:pos="426"/>
        </w:tabs>
        <w:jc w:val="both"/>
        <w:rPr>
          <w:rFonts w:asciiTheme="majorHAnsi" w:hAnsiTheme="majorHAnsi" w:cs="Arial"/>
          <w:color w:val="000000"/>
        </w:rPr>
      </w:pPr>
    </w:p>
    <w:p w:rsidR="00A83EFF" w:rsidRPr="00A83EFF" w:rsidRDefault="00A83EFF" w:rsidP="00A76CF1">
      <w:pPr>
        <w:numPr>
          <w:ilvl w:val="0"/>
          <w:numId w:val="19"/>
        </w:numPr>
        <w:tabs>
          <w:tab w:val="left" w:pos="284"/>
        </w:tabs>
        <w:ind w:left="284" w:hanging="284"/>
        <w:jc w:val="both"/>
        <w:rPr>
          <w:rFonts w:asciiTheme="majorHAnsi" w:hAnsiTheme="majorHAnsi" w:cs="Arial"/>
          <w:color w:val="000000"/>
        </w:rPr>
      </w:pPr>
      <w:r>
        <w:rPr>
          <w:rFonts w:asciiTheme="majorHAnsi" w:hAnsiTheme="majorHAnsi"/>
          <w:color w:val="000000"/>
        </w:rPr>
        <w:t xml:space="preserve">An absolute threshold could be a reference in a single uniform context of standard of living, consumer costs, etc., but this is not the case for institutions present in different geographical regions, currencies and markets. </w:t>
      </w:r>
      <w:r>
        <w:rPr>
          <w:rFonts w:asciiTheme="majorHAnsi" w:hAnsiTheme="majorHAnsi"/>
          <w:color w:val="000000"/>
        </w:rPr>
        <w:lastRenderedPageBreak/>
        <w:t xml:space="preserve">Consequently, it does not seem possible to establish a single absolute threshold for diverse aggregations of geographies, products and customers, with wide differences between the uses of the funds lent. </w:t>
      </w:r>
    </w:p>
    <w:p w:rsidR="00A83EFF" w:rsidRPr="00A83EFF" w:rsidRDefault="00A83EFF" w:rsidP="00A76CF1">
      <w:pPr>
        <w:tabs>
          <w:tab w:val="left" w:pos="426"/>
        </w:tabs>
        <w:jc w:val="both"/>
        <w:rPr>
          <w:rFonts w:asciiTheme="majorHAnsi" w:hAnsiTheme="majorHAnsi" w:cs="Arial"/>
          <w:color w:val="000000"/>
        </w:rPr>
      </w:pPr>
    </w:p>
    <w:p w:rsidR="00A83EFF" w:rsidRPr="00A83EFF" w:rsidRDefault="00A83EFF" w:rsidP="00A76CF1">
      <w:pPr>
        <w:numPr>
          <w:ilvl w:val="0"/>
          <w:numId w:val="19"/>
        </w:numPr>
        <w:tabs>
          <w:tab w:val="left" w:pos="284"/>
        </w:tabs>
        <w:ind w:left="284" w:hanging="284"/>
        <w:jc w:val="both"/>
        <w:rPr>
          <w:rFonts w:asciiTheme="majorHAnsi" w:hAnsiTheme="majorHAnsi" w:cs="Arial"/>
          <w:color w:val="000000"/>
        </w:rPr>
      </w:pPr>
      <w:r>
        <w:rPr>
          <w:rFonts w:asciiTheme="majorHAnsi" w:hAnsiTheme="majorHAnsi"/>
          <w:color w:val="000000"/>
        </w:rPr>
        <w:t xml:space="preserve">It would be necessary to bear in mind the effect of inflation on the absolute threshold over time. For that, a frequency and a procedure would have to be established for the updating of the same and its application in all institutions. On the one hand, this would potentially give rise to step-like changes (cliff effect) at each updating. On the other hand, the measure of inflation to be applied in the updating would have to be decided, with the associated difficulty of bearing in mind portfolios not only in the various European countries, but outside Europe. </w:t>
      </w:r>
    </w:p>
    <w:p w:rsidR="00A83EFF" w:rsidRPr="00A83EFF" w:rsidRDefault="00A83EFF" w:rsidP="00A83EFF">
      <w:pPr>
        <w:tabs>
          <w:tab w:val="left" w:pos="426"/>
        </w:tabs>
        <w:jc w:val="both"/>
        <w:rPr>
          <w:rFonts w:asciiTheme="majorHAnsi" w:hAnsiTheme="majorHAnsi" w:cs="Arial"/>
          <w:color w:val="000000"/>
        </w:rPr>
      </w:pPr>
    </w:p>
    <w:p w:rsidR="00A83EFF" w:rsidRPr="00A83EFF" w:rsidRDefault="00A83EFF" w:rsidP="00E01A17">
      <w:pPr>
        <w:tabs>
          <w:tab w:val="left" w:pos="284"/>
        </w:tabs>
        <w:ind w:left="284"/>
        <w:jc w:val="both"/>
        <w:rPr>
          <w:rFonts w:asciiTheme="majorHAnsi" w:hAnsiTheme="majorHAnsi" w:cs="Arial"/>
          <w:color w:val="000000"/>
        </w:rPr>
      </w:pPr>
      <w:r>
        <w:rPr>
          <w:rFonts w:asciiTheme="majorHAnsi" w:hAnsiTheme="majorHAnsi"/>
          <w:color w:val="000000"/>
        </w:rPr>
        <w:t>The need for recurrent updating would conflict with the aim set out in point (1), page 11 of the Draft RTS, that the threshold '</w:t>
      </w:r>
      <w:r>
        <w:rPr>
          <w:rFonts w:asciiTheme="majorHAnsi" w:hAnsiTheme="majorHAnsi"/>
          <w:i/>
          <w:color w:val="000000"/>
        </w:rPr>
        <w:t>is expected to remain consistent over time</w:t>
      </w:r>
      <w:r>
        <w:rPr>
          <w:rFonts w:asciiTheme="majorHAnsi" w:hAnsiTheme="majorHAnsi"/>
          <w:color w:val="000000"/>
        </w:rPr>
        <w:t>', and would give rise to additional expenses for institutions, not only to implement a more parametrizable system of thresholds, but to analyse the periodic impacts of each change of threshold.</w:t>
      </w:r>
    </w:p>
    <w:p w:rsidR="00A83EFF" w:rsidRPr="00A83EFF" w:rsidRDefault="00A83EFF" w:rsidP="00A83EFF">
      <w:pPr>
        <w:tabs>
          <w:tab w:val="left" w:pos="426"/>
        </w:tabs>
        <w:jc w:val="both"/>
        <w:rPr>
          <w:rFonts w:asciiTheme="majorHAnsi" w:hAnsiTheme="majorHAnsi" w:cs="Arial"/>
          <w:color w:val="000000"/>
        </w:rPr>
      </w:pPr>
    </w:p>
    <w:p w:rsidR="00A83EFF" w:rsidRPr="00A83EFF" w:rsidRDefault="00A83EFF" w:rsidP="00A76CF1">
      <w:pPr>
        <w:numPr>
          <w:ilvl w:val="0"/>
          <w:numId w:val="19"/>
        </w:numPr>
        <w:tabs>
          <w:tab w:val="left" w:pos="284"/>
        </w:tabs>
        <w:ind w:left="284" w:hanging="284"/>
        <w:jc w:val="both"/>
        <w:rPr>
          <w:rFonts w:asciiTheme="majorHAnsi" w:hAnsiTheme="majorHAnsi" w:cs="Arial"/>
          <w:color w:val="000000"/>
        </w:rPr>
      </w:pPr>
      <w:r>
        <w:rPr>
          <w:rFonts w:asciiTheme="majorHAnsi" w:hAnsiTheme="majorHAnsi"/>
          <w:color w:val="000000"/>
        </w:rPr>
        <w:t>If absolute thresholds are maintained at the proposed levels (€500), they could interfere with the management of wholesale customers, since a non-payment of that amount could be due to commercial reasons (negotiation of a commission, etc.) and not to insolvency.</w:t>
      </w:r>
    </w:p>
    <w:p w:rsidR="00AC0A3C" w:rsidRDefault="00AC0A3C" w:rsidP="00AC0A3C">
      <w:pPr>
        <w:tabs>
          <w:tab w:val="left" w:pos="426"/>
        </w:tabs>
        <w:jc w:val="both"/>
        <w:rPr>
          <w:rFonts w:asciiTheme="majorHAnsi" w:hAnsiTheme="majorHAnsi" w:cs="Arial"/>
          <w:color w:val="000000"/>
        </w:rPr>
      </w:pPr>
    </w:p>
    <w:p w:rsidR="00AC0A3C" w:rsidRDefault="00A83EFF" w:rsidP="00AC0A3C">
      <w:pPr>
        <w:tabs>
          <w:tab w:val="left" w:pos="426"/>
        </w:tabs>
        <w:jc w:val="both"/>
        <w:rPr>
          <w:rFonts w:asciiTheme="majorHAnsi" w:hAnsiTheme="majorHAnsi" w:cs="Arial"/>
          <w:color w:val="000000"/>
        </w:rPr>
      </w:pPr>
      <w:r>
        <w:rPr>
          <w:rFonts w:asciiTheme="majorHAnsi" w:hAnsiTheme="majorHAnsi"/>
          <w:color w:val="000000"/>
        </w:rPr>
        <w:t>In this respect, we consider that a better approximation could be to define different, higher, absolute thresholds according to the different regulatory portfolios</w:t>
      </w:r>
      <w:r w:rsidR="000B1C4C">
        <w:rPr>
          <w:rFonts w:asciiTheme="majorHAnsi" w:hAnsiTheme="majorHAnsi"/>
          <w:color w:val="000000"/>
        </w:rPr>
        <w:t xml:space="preserve"> (</w:t>
      </w:r>
      <w:r w:rsidR="000B1C4C" w:rsidRPr="000B1C4C">
        <w:rPr>
          <w:rFonts w:asciiTheme="majorHAnsi" w:hAnsiTheme="majorHAnsi"/>
          <w:color w:val="000000"/>
        </w:rPr>
        <w:t>exposure class</w:t>
      </w:r>
      <w:r w:rsidR="000B1C4C">
        <w:rPr>
          <w:rFonts w:asciiTheme="majorHAnsi" w:hAnsiTheme="majorHAnsi"/>
          <w:color w:val="000000"/>
        </w:rPr>
        <w:t>)</w:t>
      </w:r>
      <w:r>
        <w:rPr>
          <w:rFonts w:asciiTheme="majorHAnsi" w:hAnsiTheme="majorHAnsi"/>
          <w:color w:val="000000"/>
        </w:rPr>
        <w:t>. Similarly, for IRB institutions, different thresholds to those established in the regulation could be proposed to the supervisor if the empirical evidence of the institution's historic data clearly shows that the regulatory threshold introduces significant biases (numerous technical defaults) that distort the estimation of the risk parameters (PD, LGD, CCF).</w:t>
      </w:r>
    </w:p>
    <w:p w:rsidR="00A83EFF" w:rsidRPr="00A83EFF" w:rsidRDefault="00A83EFF" w:rsidP="00A83EFF">
      <w:pPr>
        <w:tabs>
          <w:tab w:val="left" w:pos="426"/>
        </w:tabs>
        <w:jc w:val="both"/>
        <w:rPr>
          <w:rFonts w:asciiTheme="majorHAnsi" w:hAnsiTheme="majorHAnsi" w:cs="Arial"/>
          <w:color w:val="000000"/>
        </w:rPr>
      </w:pPr>
    </w:p>
    <w:p w:rsidR="00A83EFF" w:rsidRPr="00A83EFF" w:rsidRDefault="00A83EFF" w:rsidP="00A83EFF">
      <w:pPr>
        <w:tabs>
          <w:tab w:val="left" w:pos="426"/>
        </w:tabs>
        <w:jc w:val="both"/>
        <w:rPr>
          <w:rFonts w:asciiTheme="majorHAnsi" w:hAnsiTheme="majorHAnsi" w:cs="Arial"/>
          <w:color w:val="000000"/>
        </w:rPr>
      </w:pPr>
    </w:p>
    <w:p w:rsidR="00A83EFF" w:rsidRPr="00A83EFF" w:rsidRDefault="00A83EFF" w:rsidP="00A83EFF">
      <w:pPr>
        <w:numPr>
          <w:ilvl w:val="0"/>
          <w:numId w:val="17"/>
        </w:numPr>
        <w:tabs>
          <w:tab w:val="left" w:pos="426"/>
        </w:tabs>
        <w:jc w:val="both"/>
        <w:rPr>
          <w:rFonts w:asciiTheme="majorHAnsi" w:hAnsiTheme="majorHAnsi" w:cs="Arial"/>
          <w:b/>
          <w:color w:val="000000"/>
        </w:rPr>
      </w:pPr>
      <w:r>
        <w:rPr>
          <w:rFonts w:asciiTheme="majorHAnsi" w:hAnsiTheme="majorHAnsi"/>
          <w:b/>
          <w:color w:val="000000"/>
        </w:rPr>
        <w:t>Including the expert judgement in the materiality analysis</w:t>
      </w:r>
    </w:p>
    <w:p w:rsidR="00A83EFF" w:rsidRPr="00A83EFF" w:rsidRDefault="00A83EFF" w:rsidP="00A83EFF">
      <w:pPr>
        <w:tabs>
          <w:tab w:val="left" w:pos="426"/>
        </w:tabs>
        <w:jc w:val="both"/>
        <w:rPr>
          <w:rFonts w:asciiTheme="majorHAnsi" w:hAnsiTheme="majorHAnsi" w:cs="Arial"/>
          <w:color w:val="000000"/>
        </w:rPr>
      </w:pPr>
    </w:p>
    <w:p w:rsidR="00A83EFF" w:rsidRPr="00A83EFF" w:rsidRDefault="00A83EFF" w:rsidP="00A83EFF">
      <w:pPr>
        <w:tabs>
          <w:tab w:val="left" w:pos="426"/>
        </w:tabs>
        <w:jc w:val="both"/>
        <w:rPr>
          <w:rFonts w:asciiTheme="majorHAnsi" w:hAnsiTheme="majorHAnsi" w:cs="Arial"/>
          <w:color w:val="000000"/>
        </w:rPr>
      </w:pPr>
      <w:r>
        <w:rPr>
          <w:rFonts w:asciiTheme="majorHAnsi" w:hAnsiTheme="majorHAnsi"/>
          <w:color w:val="000000"/>
        </w:rPr>
        <w:t>To complement the establishment of the threshold</w:t>
      </w:r>
      <w:r>
        <w:rPr>
          <w:rFonts w:asciiTheme="majorHAnsi" w:hAnsiTheme="majorHAnsi"/>
          <w:b/>
          <w:color w:val="000000"/>
        </w:rPr>
        <w:t>, we consider it necessary</w:t>
      </w:r>
      <w:r>
        <w:rPr>
          <w:rFonts w:asciiTheme="majorHAnsi" w:hAnsiTheme="majorHAnsi"/>
          <w:color w:val="000000"/>
        </w:rPr>
        <w:t xml:space="preserve"> to allow </w:t>
      </w:r>
      <w:r w:rsidR="00285336">
        <w:rPr>
          <w:rFonts w:asciiTheme="majorHAnsi" w:hAnsiTheme="majorHAnsi"/>
          <w:b/>
          <w:color w:val="000000"/>
        </w:rPr>
        <w:t xml:space="preserve">entities </w:t>
      </w:r>
      <w:r>
        <w:rPr>
          <w:rFonts w:asciiTheme="majorHAnsi" w:hAnsiTheme="majorHAnsi"/>
          <w:b/>
          <w:color w:val="000000"/>
        </w:rPr>
        <w:t xml:space="preserve">to apply exceptions evaluated by expert judgement </w:t>
      </w:r>
      <w:r>
        <w:rPr>
          <w:rFonts w:asciiTheme="majorHAnsi" w:hAnsiTheme="majorHAnsi"/>
          <w:color w:val="000000"/>
        </w:rPr>
        <w:t>in the</w:t>
      </w:r>
      <w:r>
        <w:rPr>
          <w:rFonts w:asciiTheme="majorHAnsi" w:hAnsiTheme="majorHAnsi"/>
          <w:b/>
          <w:color w:val="000000"/>
        </w:rPr>
        <w:t xml:space="preserve"> materiality analysis. </w:t>
      </w:r>
      <w:r>
        <w:rPr>
          <w:rFonts w:asciiTheme="majorHAnsi" w:hAnsiTheme="majorHAnsi"/>
          <w:color w:val="000000"/>
        </w:rPr>
        <w:t>This would allow</w:t>
      </w:r>
      <w:r>
        <w:rPr>
          <w:rFonts w:asciiTheme="majorHAnsi" w:hAnsiTheme="majorHAnsi"/>
          <w:b/>
          <w:color w:val="000000"/>
        </w:rPr>
        <w:t>:</w:t>
      </w:r>
    </w:p>
    <w:p w:rsidR="00A83EFF" w:rsidRPr="00A83EFF" w:rsidRDefault="00A83EFF" w:rsidP="00A83EFF">
      <w:pPr>
        <w:tabs>
          <w:tab w:val="left" w:pos="426"/>
        </w:tabs>
        <w:jc w:val="both"/>
        <w:rPr>
          <w:rFonts w:asciiTheme="majorHAnsi" w:hAnsiTheme="majorHAnsi" w:cs="Arial"/>
          <w:color w:val="000000"/>
        </w:rPr>
      </w:pPr>
    </w:p>
    <w:p w:rsidR="00A83EFF" w:rsidRPr="00A83EFF" w:rsidRDefault="00A83EFF" w:rsidP="00A76CF1">
      <w:pPr>
        <w:tabs>
          <w:tab w:val="left" w:pos="284"/>
        </w:tabs>
        <w:ind w:left="284" w:hanging="284"/>
        <w:jc w:val="both"/>
        <w:rPr>
          <w:rFonts w:asciiTheme="majorHAnsi" w:hAnsiTheme="majorHAnsi" w:cs="Arial"/>
          <w:color w:val="000000"/>
        </w:rPr>
      </w:pPr>
      <w:r>
        <w:rPr>
          <w:rFonts w:asciiTheme="majorHAnsi" w:hAnsiTheme="majorHAnsi"/>
          <w:color w:val="000000"/>
        </w:rPr>
        <w:t>•</w:t>
      </w:r>
      <w:r>
        <w:tab/>
      </w:r>
      <w:r>
        <w:rPr>
          <w:rFonts w:asciiTheme="majorHAnsi" w:hAnsiTheme="majorHAnsi"/>
          <w:color w:val="000000"/>
        </w:rPr>
        <w:t>The exclusion of technical breaches, for reasons other than the insolvency of the creditor, that surpass the limits of the threshold defined, such as an operational problem in the institution in the process of being solved.</w:t>
      </w:r>
    </w:p>
    <w:p w:rsidR="00A83EFF" w:rsidRPr="00A83EFF" w:rsidRDefault="00A83EFF" w:rsidP="00A83EFF">
      <w:pPr>
        <w:tabs>
          <w:tab w:val="left" w:pos="426"/>
        </w:tabs>
        <w:jc w:val="both"/>
        <w:rPr>
          <w:rFonts w:asciiTheme="majorHAnsi" w:hAnsiTheme="majorHAnsi" w:cs="Arial"/>
          <w:color w:val="000000"/>
        </w:rPr>
      </w:pPr>
    </w:p>
    <w:p w:rsidR="00A83EFF" w:rsidRPr="00A83EFF" w:rsidRDefault="00A83EFF" w:rsidP="00A76CF1">
      <w:pPr>
        <w:tabs>
          <w:tab w:val="left" w:pos="284"/>
        </w:tabs>
        <w:ind w:left="284" w:hanging="284"/>
        <w:jc w:val="both"/>
        <w:rPr>
          <w:rFonts w:asciiTheme="majorHAnsi" w:hAnsiTheme="majorHAnsi" w:cs="Arial"/>
          <w:color w:val="000000"/>
        </w:rPr>
      </w:pPr>
      <w:r>
        <w:rPr>
          <w:rFonts w:asciiTheme="majorHAnsi" w:hAnsiTheme="majorHAnsi"/>
          <w:color w:val="000000"/>
        </w:rPr>
        <w:t>•</w:t>
      </w:r>
      <w:r>
        <w:tab/>
      </w:r>
      <w:r>
        <w:rPr>
          <w:rFonts w:asciiTheme="majorHAnsi" w:hAnsiTheme="majorHAnsi"/>
          <w:color w:val="000000"/>
        </w:rPr>
        <w:t xml:space="preserve">The inclusion of breaches within the limits of the threshold for consideration as defaults, if significant financial difficulties in the creditor are observed, even though the amount outstanding may be small. </w:t>
      </w:r>
    </w:p>
    <w:p w:rsidR="00A83EFF" w:rsidRPr="00A83EFF" w:rsidRDefault="00A83EFF" w:rsidP="00A83EFF">
      <w:pPr>
        <w:tabs>
          <w:tab w:val="left" w:pos="426"/>
        </w:tabs>
        <w:jc w:val="both"/>
        <w:rPr>
          <w:rFonts w:asciiTheme="majorHAnsi" w:hAnsiTheme="majorHAnsi" w:cs="Arial"/>
          <w:color w:val="000000"/>
        </w:rPr>
      </w:pPr>
    </w:p>
    <w:p w:rsidR="00A83EFF" w:rsidRPr="00A83EFF" w:rsidRDefault="00AC0A3C" w:rsidP="00A83EFF">
      <w:pPr>
        <w:tabs>
          <w:tab w:val="left" w:pos="426"/>
        </w:tabs>
        <w:jc w:val="both"/>
        <w:rPr>
          <w:rFonts w:asciiTheme="majorHAnsi" w:hAnsiTheme="majorHAnsi" w:cs="Arial"/>
          <w:color w:val="000000"/>
        </w:rPr>
      </w:pPr>
      <w:r w:rsidRPr="00697418">
        <w:rPr>
          <w:rFonts w:asciiTheme="majorHAnsi" w:hAnsiTheme="majorHAnsi"/>
          <w:color w:val="000000"/>
        </w:rPr>
        <w:t xml:space="preserve">This expert </w:t>
      </w:r>
      <w:r w:rsidR="00BB3450" w:rsidRPr="00697418">
        <w:rPr>
          <w:rFonts w:asciiTheme="majorHAnsi" w:hAnsiTheme="majorHAnsi"/>
          <w:color w:val="000000"/>
        </w:rPr>
        <w:t xml:space="preserve">judgement is positively envisaged in different financial contexts, such as the accounting framework (i.e. </w:t>
      </w:r>
      <w:r w:rsidRPr="00697418">
        <w:rPr>
          <w:rFonts w:asciiTheme="majorHAnsi" w:hAnsiTheme="majorHAnsi"/>
          <w:b/>
          <w:color w:val="000000"/>
        </w:rPr>
        <w:t>I</w:t>
      </w:r>
      <w:r w:rsidR="00F0147E" w:rsidRPr="00697418">
        <w:rPr>
          <w:rFonts w:asciiTheme="majorHAnsi" w:hAnsiTheme="majorHAnsi"/>
          <w:b/>
          <w:color w:val="000000"/>
        </w:rPr>
        <w:t>A</w:t>
      </w:r>
      <w:bookmarkStart w:id="0" w:name="_GoBack"/>
      <w:bookmarkEnd w:id="0"/>
      <w:r w:rsidRPr="00697418">
        <w:rPr>
          <w:rFonts w:asciiTheme="majorHAnsi" w:hAnsiTheme="majorHAnsi"/>
          <w:b/>
          <w:color w:val="000000"/>
        </w:rPr>
        <w:t>S 39,</w:t>
      </w:r>
      <w:r w:rsidR="00BB3450" w:rsidRPr="00697418">
        <w:rPr>
          <w:rFonts w:asciiTheme="majorHAnsi" w:hAnsiTheme="majorHAnsi"/>
          <w:b/>
          <w:color w:val="000000"/>
        </w:rPr>
        <w:t xml:space="preserve"> </w:t>
      </w:r>
      <w:r w:rsidR="00DE1D05" w:rsidRPr="00697418">
        <w:rPr>
          <w:rFonts w:asciiTheme="majorHAnsi" w:hAnsiTheme="majorHAnsi"/>
          <w:color w:val="000000"/>
        </w:rPr>
        <w:t>paragraph 62</w:t>
      </w:r>
      <w:r w:rsidR="00362B94" w:rsidRPr="00697418">
        <w:rPr>
          <w:rFonts w:asciiTheme="majorHAnsi" w:hAnsiTheme="majorHAnsi"/>
          <w:color w:val="000000"/>
        </w:rPr>
        <w:t xml:space="preserve">: </w:t>
      </w:r>
      <w:r w:rsidR="00DE1D05" w:rsidRPr="00697418">
        <w:rPr>
          <w:rFonts w:asciiTheme="majorHAnsi" w:hAnsiTheme="majorHAnsi"/>
          <w:color w:val="000000"/>
        </w:rPr>
        <w:t>...</w:t>
      </w:r>
      <w:r w:rsidR="00DE1D05" w:rsidRPr="00697418">
        <w:rPr>
          <w:rFonts w:asciiTheme="majorHAnsi" w:hAnsiTheme="majorHAnsi"/>
          <w:i/>
          <w:color w:val="000000"/>
        </w:rPr>
        <w:t>an entity uses its experienced judgement to estimate the amount of any impairment loss. Similarly an entity uses its experienced judgement to adjust observable data for</w:t>
      </w:r>
      <w:r w:rsidR="00DE1D05" w:rsidRPr="00697418">
        <w:rPr>
          <w:rFonts w:asciiTheme="majorHAnsi" w:hAnsiTheme="majorHAnsi"/>
          <w:color w:val="000000"/>
        </w:rPr>
        <w:t>..</w:t>
      </w:r>
      <w:r w:rsidR="00BB3450" w:rsidRPr="00697418">
        <w:rPr>
          <w:rFonts w:asciiTheme="majorHAnsi" w:hAnsiTheme="majorHAnsi"/>
          <w:color w:val="000000"/>
        </w:rPr>
        <w:t>.)</w:t>
      </w:r>
    </w:p>
    <w:p w:rsidR="00A83EFF" w:rsidRPr="00A83EFF" w:rsidRDefault="00A83EFF" w:rsidP="00A83EFF">
      <w:pPr>
        <w:tabs>
          <w:tab w:val="left" w:pos="426"/>
        </w:tabs>
        <w:jc w:val="both"/>
        <w:rPr>
          <w:rFonts w:asciiTheme="majorHAnsi" w:hAnsiTheme="majorHAnsi" w:cs="Arial"/>
          <w:color w:val="000000"/>
        </w:rPr>
      </w:pPr>
    </w:p>
    <w:p w:rsidR="00A83EFF" w:rsidRPr="00A83EFF" w:rsidRDefault="00A83EFF" w:rsidP="00A83EFF">
      <w:pPr>
        <w:tabs>
          <w:tab w:val="left" w:pos="426"/>
        </w:tabs>
        <w:jc w:val="both"/>
        <w:rPr>
          <w:rFonts w:asciiTheme="majorHAnsi" w:hAnsiTheme="majorHAnsi" w:cs="Arial"/>
          <w:color w:val="000000"/>
        </w:rPr>
      </w:pPr>
      <w:r>
        <w:rPr>
          <w:rFonts w:asciiTheme="majorHAnsi" w:hAnsiTheme="majorHAnsi"/>
          <w:color w:val="000000"/>
        </w:rPr>
        <w:t>The exceptions, logically, should be justified in each case and appropriately documented, at the disposal of the supervisor that may require it.</w:t>
      </w:r>
      <w:r w:rsidR="00D20EAD">
        <w:rPr>
          <w:rFonts w:asciiTheme="majorHAnsi" w:hAnsiTheme="majorHAnsi"/>
          <w:color w:val="000000"/>
        </w:rPr>
        <w:t xml:space="preserve"> </w:t>
      </w:r>
    </w:p>
    <w:p w:rsidR="00A83EFF" w:rsidRPr="00A83EFF" w:rsidRDefault="00A83EFF" w:rsidP="00A83EFF">
      <w:pPr>
        <w:tabs>
          <w:tab w:val="left" w:pos="426"/>
        </w:tabs>
        <w:jc w:val="both"/>
        <w:rPr>
          <w:rFonts w:asciiTheme="majorHAnsi" w:hAnsiTheme="majorHAnsi" w:cs="Arial"/>
          <w:b/>
          <w:color w:val="000000"/>
        </w:rPr>
      </w:pPr>
    </w:p>
    <w:p w:rsidR="00A83EFF" w:rsidRPr="00A83EFF" w:rsidRDefault="00A83EFF" w:rsidP="00A83EFF">
      <w:pPr>
        <w:tabs>
          <w:tab w:val="left" w:pos="426"/>
        </w:tabs>
        <w:jc w:val="both"/>
        <w:rPr>
          <w:rFonts w:asciiTheme="majorHAnsi" w:hAnsiTheme="majorHAnsi" w:cs="Arial"/>
          <w:color w:val="000000"/>
        </w:rPr>
      </w:pPr>
    </w:p>
    <w:p w:rsidR="00A83EFF" w:rsidRPr="00E01A17" w:rsidRDefault="00A83EFF" w:rsidP="00A83EFF">
      <w:pPr>
        <w:numPr>
          <w:ilvl w:val="0"/>
          <w:numId w:val="17"/>
        </w:numPr>
        <w:tabs>
          <w:tab w:val="left" w:pos="426"/>
        </w:tabs>
        <w:jc w:val="both"/>
        <w:rPr>
          <w:rFonts w:asciiTheme="majorHAnsi" w:hAnsiTheme="majorHAnsi" w:cs="Arial"/>
          <w:b/>
          <w:color w:val="000000"/>
        </w:rPr>
      </w:pPr>
      <w:r>
        <w:rPr>
          <w:rFonts w:asciiTheme="majorHAnsi" w:hAnsiTheme="majorHAnsi"/>
          <w:b/>
          <w:color w:val="000000"/>
        </w:rPr>
        <w:t xml:space="preserve">Allowing </w:t>
      </w:r>
      <w:r w:rsidR="00C52E0F">
        <w:rPr>
          <w:rFonts w:asciiTheme="majorHAnsi" w:hAnsiTheme="majorHAnsi"/>
          <w:b/>
          <w:color w:val="000000"/>
        </w:rPr>
        <w:t>entities to hold</w:t>
      </w:r>
      <w:r w:rsidR="00823ACF">
        <w:rPr>
          <w:rFonts w:asciiTheme="majorHAnsi" w:hAnsiTheme="majorHAnsi"/>
          <w:b/>
          <w:color w:val="000000"/>
        </w:rPr>
        <w:t xml:space="preserve"> in a voluntary base</w:t>
      </w:r>
      <w:r w:rsidR="00C52E0F">
        <w:rPr>
          <w:rFonts w:asciiTheme="majorHAnsi" w:hAnsiTheme="majorHAnsi"/>
          <w:b/>
          <w:color w:val="000000"/>
        </w:rPr>
        <w:t xml:space="preserve"> a </w:t>
      </w:r>
      <w:r>
        <w:rPr>
          <w:rFonts w:asciiTheme="majorHAnsi" w:hAnsiTheme="majorHAnsi"/>
          <w:b/>
          <w:color w:val="000000"/>
        </w:rPr>
        <w:t xml:space="preserve">more restrictive criteria than those </w:t>
      </w:r>
      <w:r w:rsidR="00C52E0F">
        <w:rPr>
          <w:rFonts w:asciiTheme="majorHAnsi" w:hAnsiTheme="majorHAnsi"/>
          <w:b/>
          <w:color w:val="000000"/>
        </w:rPr>
        <w:t>held by</w:t>
      </w:r>
      <w:r w:rsidR="00D20EAD">
        <w:rPr>
          <w:rFonts w:asciiTheme="majorHAnsi" w:hAnsiTheme="majorHAnsi"/>
          <w:b/>
          <w:color w:val="000000"/>
        </w:rPr>
        <w:t xml:space="preserve"> </w:t>
      </w:r>
      <w:r>
        <w:rPr>
          <w:rFonts w:asciiTheme="majorHAnsi" w:hAnsiTheme="majorHAnsi"/>
          <w:b/>
          <w:color w:val="000000"/>
        </w:rPr>
        <w:t>the RTS</w:t>
      </w:r>
      <w:r w:rsidR="00285336">
        <w:rPr>
          <w:rFonts w:asciiTheme="majorHAnsi" w:hAnsiTheme="majorHAnsi"/>
          <w:b/>
          <w:color w:val="000000"/>
        </w:rPr>
        <w:t>.</w:t>
      </w:r>
    </w:p>
    <w:p w:rsidR="00E01A17" w:rsidRPr="00A83EFF" w:rsidRDefault="00E01A17" w:rsidP="00E01A17">
      <w:pPr>
        <w:tabs>
          <w:tab w:val="left" w:pos="426"/>
        </w:tabs>
        <w:ind w:left="360"/>
        <w:jc w:val="both"/>
        <w:rPr>
          <w:rFonts w:asciiTheme="majorHAnsi" w:hAnsiTheme="majorHAnsi" w:cs="Arial"/>
          <w:b/>
          <w:color w:val="000000"/>
        </w:rPr>
      </w:pPr>
    </w:p>
    <w:p w:rsidR="00A83EFF" w:rsidRPr="00A83EFF" w:rsidRDefault="00A83EFF" w:rsidP="00A76CF1">
      <w:pPr>
        <w:numPr>
          <w:ilvl w:val="0"/>
          <w:numId w:val="18"/>
        </w:numPr>
        <w:tabs>
          <w:tab w:val="left" w:pos="284"/>
        </w:tabs>
        <w:ind w:left="284" w:hanging="284"/>
        <w:jc w:val="both"/>
        <w:rPr>
          <w:rFonts w:asciiTheme="majorHAnsi" w:hAnsiTheme="majorHAnsi" w:cs="Arial"/>
          <w:color w:val="000000"/>
        </w:rPr>
      </w:pPr>
      <w:r>
        <w:rPr>
          <w:rFonts w:asciiTheme="majorHAnsi" w:hAnsiTheme="majorHAnsi"/>
          <w:color w:val="000000"/>
        </w:rPr>
        <w:t xml:space="preserve">Paragraph (4), page 11 of the RTS establishes that the thresholds defined for the identification of default constitute a maximum level. According to that principle, we understand that institutions could maintain thresholds with characteristics similar to those determined in the final version of the RTS, but more restrictive. </w:t>
      </w:r>
    </w:p>
    <w:p w:rsidR="00A83EFF" w:rsidRPr="00A83EFF" w:rsidRDefault="00A83EFF" w:rsidP="00A83EFF">
      <w:pPr>
        <w:tabs>
          <w:tab w:val="left" w:pos="426"/>
        </w:tabs>
        <w:jc w:val="both"/>
        <w:rPr>
          <w:rFonts w:asciiTheme="majorHAnsi" w:hAnsiTheme="majorHAnsi" w:cs="Arial"/>
          <w:color w:val="000000"/>
        </w:rPr>
      </w:pPr>
    </w:p>
    <w:p w:rsidR="00A83EFF" w:rsidRPr="00A83EFF" w:rsidRDefault="00A83EFF" w:rsidP="00A76CF1">
      <w:pPr>
        <w:numPr>
          <w:ilvl w:val="0"/>
          <w:numId w:val="18"/>
        </w:numPr>
        <w:tabs>
          <w:tab w:val="left" w:pos="284"/>
        </w:tabs>
        <w:ind w:left="284" w:hanging="284"/>
        <w:jc w:val="both"/>
        <w:rPr>
          <w:rFonts w:asciiTheme="majorHAnsi" w:hAnsiTheme="majorHAnsi" w:cs="Arial"/>
          <w:color w:val="000000"/>
        </w:rPr>
      </w:pPr>
      <w:r>
        <w:rPr>
          <w:rFonts w:asciiTheme="majorHAnsi" w:hAnsiTheme="majorHAnsi"/>
          <w:color w:val="000000"/>
        </w:rPr>
        <w:t>This would allow the costs of the developments required to implement the RTS to be reduced, while maintaining the necessary levels of conservatism and consistency. Otherwise, very significant costs could be incurred for the development of processes, systems, reconstruction of historic data, etc., which would mean undertaking projects with high costs in terms of time and resources, both financial and human.</w:t>
      </w:r>
    </w:p>
    <w:p w:rsidR="00A83EFF" w:rsidRPr="00A83EFF" w:rsidRDefault="00A83EFF" w:rsidP="00A83EFF">
      <w:pPr>
        <w:tabs>
          <w:tab w:val="left" w:pos="426"/>
        </w:tabs>
        <w:jc w:val="both"/>
        <w:rPr>
          <w:rFonts w:asciiTheme="majorHAnsi" w:hAnsiTheme="majorHAnsi" w:cs="Arial"/>
          <w:color w:val="000000"/>
        </w:rPr>
      </w:pPr>
    </w:p>
    <w:p w:rsidR="00A83EFF" w:rsidRPr="00A83EFF" w:rsidRDefault="00A83EFF" w:rsidP="00A76CF1">
      <w:pPr>
        <w:numPr>
          <w:ilvl w:val="0"/>
          <w:numId w:val="18"/>
        </w:numPr>
        <w:tabs>
          <w:tab w:val="left" w:pos="284"/>
        </w:tabs>
        <w:ind w:left="284" w:hanging="284"/>
        <w:jc w:val="both"/>
        <w:rPr>
          <w:rFonts w:asciiTheme="majorHAnsi" w:hAnsiTheme="majorHAnsi" w:cs="Arial"/>
          <w:color w:val="000000"/>
        </w:rPr>
      </w:pPr>
      <w:r>
        <w:rPr>
          <w:rFonts w:asciiTheme="majorHAnsi" w:hAnsiTheme="majorHAnsi"/>
          <w:color w:val="000000"/>
        </w:rPr>
        <w:t xml:space="preserve">More generally, following the same principle, methodological approximations should be permitted if they can be shown to be more conservative than those established in the RTS. By way of example, institutions should be permitted to apply a more conservative, but at the same time simpler, calculation of the threshold, including in the numerator the total amount of the outstanding payments (when at least one of them has been outstanding for 90 days) instead of only the quotas that have remained unpaid for 90 days. Similarly, institutions should be allowed to apply the new definition of materiality alone as of the implementation date, instead of recalculating the historical data, as long as the changes produced are not significant nor less conservative than those that would result from applying the new materiality framework to the whole history. It should be possible to confirm this by analysing the data for one or two years. </w:t>
      </w:r>
    </w:p>
    <w:p w:rsidR="00A83EFF" w:rsidRPr="00A83EFF" w:rsidRDefault="00A83EFF" w:rsidP="00A83EFF">
      <w:pPr>
        <w:tabs>
          <w:tab w:val="left" w:pos="426"/>
        </w:tabs>
        <w:jc w:val="both"/>
        <w:rPr>
          <w:rFonts w:asciiTheme="majorHAnsi" w:hAnsiTheme="majorHAnsi" w:cs="Arial"/>
          <w:color w:val="000000"/>
        </w:rPr>
      </w:pPr>
    </w:p>
    <w:p w:rsidR="00A83EFF" w:rsidRPr="00A83EFF" w:rsidRDefault="00A83EFF" w:rsidP="00A83EFF">
      <w:pPr>
        <w:numPr>
          <w:ilvl w:val="0"/>
          <w:numId w:val="17"/>
        </w:numPr>
        <w:tabs>
          <w:tab w:val="left" w:pos="426"/>
        </w:tabs>
        <w:jc w:val="both"/>
        <w:rPr>
          <w:rFonts w:asciiTheme="majorHAnsi" w:hAnsiTheme="majorHAnsi" w:cs="Arial"/>
          <w:b/>
          <w:color w:val="000000"/>
        </w:rPr>
      </w:pPr>
      <w:r w:rsidRPr="005B1FAA">
        <w:rPr>
          <w:rFonts w:asciiTheme="majorHAnsi" w:hAnsiTheme="majorHAnsi"/>
          <w:b/>
          <w:color w:val="000000"/>
        </w:rPr>
        <w:t xml:space="preserve">Consideration of certain modifications in the definition of default as a </w:t>
      </w:r>
      <w:r w:rsidR="00725A01">
        <w:rPr>
          <w:rFonts w:asciiTheme="majorHAnsi" w:hAnsiTheme="majorHAnsi"/>
          <w:b/>
          <w:color w:val="000000"/>
          <w:highlight w:val="yellow"/>
        </w:rPr>
        <w:t xml:space="preserve"> </w:t>
      </w:r>
      <w:r w:rsidR="00725A01" w:rsidRPr="00697418">
        <w:rPr>
          <w:rFonts w:asciiTheme="majorHAnsi" w:hAnsiTheme="majorHAnsi"/>
          <w:b/>
          <w:color w:val="000000"/>
        </w:rPr>
        <w:t>non-material</w:t>
      </w:r>
      <w:r w:rsidRPr="00697418">
        <w:rPr>
          <w:rFonts w:asciiTheme="majorHAnsi" w:hAnsiTheme="majorHAnsi"/>
          <w:b/>
          <w:color w:val="000000"/>
        </w:rPr>
        <w:t xml:space="preserve"> change.</w:t>
      </w:r>
    </w:p>
    <w:p w:rsidR="00A83EFF" w:rsidRPr="00A83EFF" w:rsidRDefault="00A83EFF" w:rsidP="00A83EFF">
      <w:pPr>
        <w:tabs>
          <w:tab w:val="left" w:pos="426"/>
        </w:tabs>
        <w:jc w:val="both"/>
        <w:rPr>
          <w:rFonts w:asciiTheme="majorHAnsi" w:hAnsiTheme="majorHAnsi" w:cs="Arial"/>
          <w:color w:val="000000"/>
        </w:rPr>
      </w:pPr>
    </w:p>
    <w:p w:rsidR="00A83EFF" w:rsidRPr="00A83EFF" w:rsidRDefault="00A83EFF" w:rsidP="00A83EFF">
      <w:pPr>
        <w:tabs>
          <w:tab w:val="left" w:pos="426"/>
        </w:tabs>
        <w:jc w:val="both"/>
        <w:rPr>
          <w:rFonts w:asciiTheme="majorHAnsi" w:hAnsiTheme="majorHAnsi" w:cs="Arial"/>
          <w:color w:val="000000"/>
        </w:rPr>
      </w:pPr>
      <w:r>
        <w:rPr>
          <w:rFonts w:asciiTheme="majorHAnsi" w:hAnsiTheme="majorHAnsi"/>
          <w:color w:val="000000"/>
        </w:rPr>
        <w:t xml:space="preserve">Given that the possible modifications in each institution arising from the definition of materiality would be due to an obligatory regulatory change, the AEB considers that they should not be classed as a significant change, as long as they do not have a significant quantitative impact, as defined in the document </w:t>
      </w:r>
      <w:r>
        <w:rPr>
          <w:rFonts w:asciiTheme="majorHAnsi" w:hAnsiTheme="majorHAnsi"/>
          <w:i/>
          <w:color w:val="000000"/>
        </w:rPr>
        <w:t>"On the conditions for assessing the materiality of extensions and changes of internal approaches when calculating own funds requirements for credit and operational risk in accordance with Articles 143(5) and 312(4)(b) and (c) of Regulation (EU) No 575/2013 (Capital Requirements Regulation – CRR).</w:t>
      </w:r>
    </w:p>
    <w:p w:rsidR="00A83EFF" w:rsidRPr="00A83EFF" w:rsidRDefault="00A83EFF" w:rsidP="00A83EFF">
      <w:pPr>
        <w:tabs>
          <w:tab w:val="left" w:pos="426"/>
        </w:tabs>
        <w:jc w:val="both"/>
        <w:rPr>
          <w:rFonts w:asciiTheme="majorHAnsi" w:hAnsiTheme="majorHAnsi" w:cs="Arial"/>
          <w:color w:val="000000"/>
        </w:rPr>
      </w:pPr>
    </w:p>
    <w:p w:rsidR="00A83EFF" w:rsidRPr="00A83EFF" w:rsidRDefault="00A83EFF" w:rsidP="00A83EFF">
      <w:pPr>
        <w:tabs>
          <w:tab w:val="left" w:pos="426"/>
        </w:tabs>
        <w:jc w:val="both"/>
        <w:rPr>
          <w:rFonts w:asciiTheme="majorHAnsi" w:hAnsiTheme="majorHAnsi" w:cs="Arial"/>
          <w:iCs/>
          <w:color w:val="000000"/>
        </w:rPr>
      </w:pPr>
      <w:r>
        <w:rPr>
          <w:rFonts w:asciiTheme="majorHAnsi" w:hAnsiTheme="majorHAnsi"/>
          <w:color w:val="000000"/>
        </w:rPr>
        <w:t xml:space="preserve">This </w:t>
      </w:r>
      <w:r>
        <w:rPr>
          <w:rFonts w:asciiTheme="majorHAnsi" w:hAnsiTheme="majorHAnsi"/>
          <w:b/>
          <w:color w:val="000000"/>
        </w:rPr>
        <w:t xml:space="preserve">consideration </w:t>
      </w:r>
      <w:r w:rsidRPr="00697418">
        <w:rPr>
          <w:rFonts w:asciiTheme="majorHAnsi" w:hAnsiTheme="majorHAnsi"/>
          <w:color w:val="000000"/>
        </w:rPr>
        <w:t>of</w:t>
      </w:r>
      <w:r w:rsidRPr="00697418">
        <w:rPr>
          <w:rFonts w:asciiTheme="majorHAnsi" w:hAnsiTheme="majorHAnsi"/>
          <w:b/>
          <w:color w:val="000000"/>
        </w:rPr>
        <w:t xml:space="preserve"> </w:t>
      </w:r>
      <w:r w:rsidR="00206188" w:rsidRPr="00697418">
        <w:rPr>
          <w:rFonts w:asciiTheme="majorHAnsi" w:hAnsiTheme="majorHAnsi"/>
          <w:b/>
          <w:color w:val="000000"/>
        </w:rPr>
        <w:t xml:space="preserve"> a </w:t>
      </w:r>
      <w:r w:rsidR="00725A01" w:rsidRPr="00697418">
        <w:rPr>
          <w:rFonts w:asciiTheme="majorHAnsi" w:hAnsiTheme="majorHAnsi"/>
          <w:b/>
          <w:color w:val="000000"/>
        </w:rPr>
        <w:t>non-material</w:t>
      </w:r>
      <w:r w:rsidRPr="00697418">
        <w:rPr>
          <w:rFonts w:asciiTheme="majorHAnsi" w:hAnsiTheme="majorHAnsi"/>
          <w:b/>
          <w:color w:val="000000"/>
        </w:rPr>
        <w:t xml:space="preserve"> change</w:t>
      </w:r>
      <w:r>
        <w:rPr>
          <w:rFonts w:asciiTheme="majorHAnsi" w:hAnsiTheme="majorHAnsi"/>
          <w:color w:val="000000"/>
        </w:rPr>
        <w:t xml:space="preserve">, if it does not have a significant quantitative impact, </w:t>
      </w:r>
      <w:r>
        <w:rPr>
          <w:rFonts w:asciiTheme="majorHAnsi" w:hAnsiTheme="majorHAnsi"/>
          <w:b/>
          <w:color w:val="000000"/>
        </w:rPr>
        <w:t>would avoid impacts</w:t>
      </w:r>
      <w:r>
        <w:rPr>
          <w:rFonts w:asciiTheme="majorHAnsi" w:hAnsiTheme="majorHAnsi"/>
          <w:color w:val="000000"/>
        </w:rPr>
        <w:t xml:space="preserve"> on the daily </w:t>
      </w:r>
      <w:r>
        <w:rPr>
          <w:rFonts w:asciiTheme="majorHAnsi" w:hAnsiTheme="majorHAnsi"/>
          <w:b/>
          <w:color w:val="000000"/>
        </w:rPr>
        <w:t>credit risk management</w:t>
      </w:r>
      <w:r>
        <w:rPr>
          <w:rFonts w:asciiTheme="majorHAnsi" w:hAnsiTheme="majorHAnsi"/>
          <w:color w:val="000000"/>
        </w:rPr>
        <w:t xml:space="preserve"> </w:t>
      </w:r>
      <w:r>
        <w:rPr>
          <w:rFonts w:asciiTheme="majorHAnsi" w:hAnsiTheme="majorHAnsi"/>
          <w:b/>
          <w:color w:val="000000"/>
        </w:rPr>
        <w:t>and negative impacts</w:t>
      </w:r>
      <w:r>
        <w:rPr>
          <w:rFonts w:asciiTheme="majorHAnsi" w:hAnsiTheme="majorHAnsi"/>
          <w:color w:val="000000"/>
        </w:rPr>
        <w:t xml:space="preserve"> on the timetables for the </w:t>
      </w:r>
      <w:r>
        <w:rPr>
          <w:rFonts w:asciiTheme="majorHAnsi" w:hAnsiTheme="majorHAnsi"/>
          <w:b/>
          <w:color w:val="000000"/>
        </w:rPr>
        <w:t>development and establishment</w:t>
      </w:r>
      <w:r>
        <w:rPr>
          <w:rFonts w:asciiTheme="majorHAnsi" w:hAnsiTheme="majorHAnsi"/>
          <w:color w:val="000000"/>
        </w:rPr>
        <w:t xml:space="preserve"> </w:t>
      </w:r>
      <w:r>
        <w:rPr>
          <w:rFonts w:asciiTheme="majorHAnsi" w:hAnsiTheme="majorHAnsi"/>
          <w:b/>
          <w:color w:val="000000"/>
        </w:rPr>
        <w:t>of new models</w:t>
      </w:r>
      <w:r>
        <w:rPr>
          <w:rFonts w:asciiTheme="majorHAnsi" w:hAnsiTheme="majorHAnsi"/>
          <w:color w:val="000000"/>
        </w:rPr>
        <w:t>, with the consequent savings of resources, for both the institutions and the supervisor.</w:t>
      </w:r>
    </w:p>
    <w:p w:rsidR="00A83EFF" w:rsidRPr="00A83EFF" w:rsidRDefault="00A83EFF" w:rsidP="00A83EFF">
      <w:pPr>
        <w:tabs>
          <w:tab w:val="left" w:pos="426"/>
        </w:tabs>
        <w:jc w:val="both"/>
        <w:rPr>
          <w:rFonts w:asciiTheme="majorHAnsi" w:hAnsiTheme="majorHAnsi" w:cs="Arial"/>
          <w:color w:val="000000"/>
        </w:rPr>
      </w:pPr>
    </w:p>
    <w:p w:rsidR="00A83EFF" w:rsidRPr="00A83EFF" w:rsidRDefault="00A83EFF" w:rsidP="00A83EFF">
      <w:pPr>
        <w:tabs>
          <w:tab w:val="left" w:pos="426"/>
        </w:tabs>
        <w:jc w:val="both"/>
        <w:rPr>
          <w:rFonts w:asciiTheme="majorHAnsi" w:hAnsiTheme="majorHAnsi" w:cs="Arial"/>
          <w:b/>
          <w:bCs/>
          <w:color w:val="000000"/>
        </w:rPr>
      </w:pPr>
      <w:r>
        <w:rPr>
          <w:rFonts w:asciiTheme="majorHAnsi" w:hAnsiTheme="majorHAnsi"/>
          <w:b/>
          <w:color w:val="000000"/>
        </w:rPr>
        <w:t xml:space="preserve">Q1. Do you agree with the approach proposed in the draft RTS (option 1) that default should be recognized as soon as one of the components of the threshold (absolute or relative limit) is breached? Or would you rather </w:t>
      </w:r>
      <w:r>
        <w:rPr>
          <w:rFonts w:asciiTheme="majorHAnsi" w:hAnsiTheme="majorHAnsi"/>
          <w:b/>
          <w:color w:val="000000"/>
        </w:rPr>
        <w:lastRenderedPageBreak/>
        <w:t>support the alternative option, i.e. recognition of default after both thresholds are breached (option 2)?</w:t>
      </w:r>
    </w:p>
    <w:p w:rsidR="00D93498" w:rsidRDefault="00D93498" w:rsidP="00A83EFF">
      <w:pPr>
        <w:tabs>
          <w:tab w:val="left" w:pos="426"/>
        </w:tabs>
        <w:jc w:val="both"/>
        <w:rPr>
          <w:rFonts w:asciiTheme="majorHAnsi" w:hAnsiTheme="majorHAnsi"/>
          <w:color w:val="000000"/>
        </w:rPr>
      </w:pPr>
    </w:p>
    <w:p w:rsidR="007404D9" w:rsidRDefault="007404D9" w:rsidP="00A83EFF">
      <w:pPr>
        <w:tabs>
          <w:tab w:val="left" w:pos="426"/>
        </w:tabs>
        <w:jc w:val="both"/>
        <w:rPr>
          <w:rFonts w:asciiTheme="majorHAnsi" w:hAnsiTheme="majorHAnsi"/>
          <w:color w:val="000000"/>
        </w:rPr>
      </w:pPr>
      <w:r w:rsidRPr="007404D9">
        <w:rPr>
          <w:rFonts w:asciiTheme="majorHAnsi" w:hAnsiTheme="majorHAnsi"/>
          <w:color w:val="000000"/>
        </w:rPr>
        <w:t xml:space="preserve">The AEB would be in favor of Option 2 </w:t>
      </w:r>
      <w:r w:rsidR="00823ACF">
        <w:rPr>
          <w:rFonts w:asciiTheme="majorHAnsi" w:hAnsiTheme="majorHAnsi"/>
          <w:color w:val="000000"/>
        </w:rPr>
        <w:t>(</w:t>
      </w:r>
      <w:r w:rsidR="00CF3D57">
        <w:rPr>
          <w:rFonts w:asciiTheme="majorHAnsi" w:hAnsiTheme="majorHAnsi"/>
          <w:color w:val="000000"/>
        </w:rPr>
        <w:t>recognition of default after both thresholds are breached</w:t>
      </w:r>
      <w:r w:rsidR="00823ACF">
        <w:rPr>
          <w:rFonts w:asciiTheme="majorHAnsi" w:hAnsiTheme="majorHAnsi"/>
          <w:color w:val="000000"/>
        </w:rPr>
        <w:t xml:space="preserve">), </w:t>
      </w:r>
      <w:r>
        <w:rPr>
          <w:rFonts w:asciiTheme="majorHAnsi" w:hAnsiTheme="majorHAnsi"/>
          <w:color w:val="000000"/>
        </w:rPr>
        <w:t>as explained above</w:t>
      </w:r>
      <w:r w:rsidRPr="007404D9">
        <w:rPr>
          <w:rFonts w:asciiTheme="majorHAnsi" w:hAnsiTheme="majorHAnsi"/>
          <w:color w:val="000000"/>
        </w:rPr>
        <w:t xml:space="preserve">, </w:t>
      </w:r>
      <w:r w:rsidR="00823ACF">
        <w:rPr>
          <w:rFonts w:asciiTheme="majorHAnsi" w:hAnsiTheme="majorHAnsi"/>
          <w:color w:val="000000"/>
        </w:rPr>
        <w:t>and additionally</w:t>
      </w:r>
      <w:r w:rsidR="00CF3D57">
        <w:rPr>
          <w:rFonts w:asciiTheme="majorHAnsi" w:hAnsiTheme="majorHAnsi"/>
          <w:color w:val="000000"/>
        </w:rPr>
        <w:t>:</w:t>
      </w:r>
      <w:r w:rsidR="00823ACF">
        <w:rPr>
          <w:rFonts w:asciiTheme="majorHAnsi" w:hAnsiTheme="majorHAnsi"/>
          <w:color w:val="000000"/>
        </w:rPr>
        <w:t xml:space="preserve"> </w:t>
      </w:r>
      <w:r w:rsidRPr="007404D9">
        <w:rPr>
          <w:rFonts w:asciiTheme="majorHAnsi" w:hAnsiTheme="majorHAnsi"/>
          <w:color w:val="000000"/>
        </w:rPr>
        <w:t>the amount of the absolute threshold</w:t>
      </w:r>
      <w:r w:rsidR="00CF3D57">
        <w:rPr>
          <w:rFonts w:asciiTheme="majorHAnsi" w:hAnsiTheme="majorHAnsi"/>
          <w:color w:val="000000"/>
        </w:rPr>
        <w:t>s</w:t>
      </w:r>
      <w:r w:rsidRPr="007404D9">
        <w:rPr>
          <w:rFonts w:asciiTheme="majorHAnsi" w:hAnsiTheme="majorHAnsi"/>
          <w:color w:val="000000"/>
        </w:rPr>
        <w:t xml:space="preserve"> </w:t>
      </w:r>
      <w:r w:rsidR="00CF3D57">
        <w:rPr>
          <w:rFonts w:asciiTheme="majorHAnsi" w:hAnsiTheme="majorHAnsi"/>
          <w:color w:val="000000"/>
        </w:rPr>
        <w:t xml:space="preserve">and the variety </w:t>
      </w:r>
      <w:r w:rsidR="00285336">
        <w:rPr>
          <w:rFonts w:asciiTheme="majorHAnsi" w:hAnsiTheme="majorHAnsi"/>
          <w:color w:val="000000"/>
        </w:rPr>
        <w:t xml:space="preserve">of </w:t>
      </w:r>
      <w:r w:rsidR="00CF3D57">
        <w:rPr>
          <w:rFonts w:asciiTheme="majorHAnsi" w:hAnsiTheme="majorHAnsi"/>
          <w:color w:val="000000"/>
        </w:rPr>
        <w:t xml:space="preserve">thresholds </w:t>
      </w:r>
      <w:r>
        <w:rPr>
          <w:rFonts w:asciiTheme="majorHAnsi" w:hAnsiTheme="majorHAnsi"/>
          <w:color w:val="000000"/>
        </w:rPr>
        <w:t xml:space="preserve">should </w:t>
      </w:r>
      <w:r w:rsidR="00CF3D57">
        <w:rPr>
          <w:rFonts w:asciiTheme="majorHAnsi" w:hAnsiTheme="majorHAnsi"/>
          <w:color w:val="000000"/>
        </w:rPr>
        <w:t xml:space="preserve">be both </w:t>
      </w:r>
      <w:r w:rsidR="00823ACF">
        <w:rPr>
          <w:rFonts w:asciiTheme="majorHAnsi" w:hAnsiTheme="majorHAnsi"/>
          <w:color w:val="000000"/>
        </w:rPr>
        <w:t>increase</w:t>
      </w:r>
      <w:r w:rsidR="00CF3D57">
        <w:rPr>
          <w:rFonts w:asciiTheme="majorHAnsi" w:hAnsiTheme="majorHAnsi"/>
          <w:color w:val="000000"/>
        </w:rPr>
        <w:t>d</w:t>
      </w:r>
      <w:r w:rsidRPr="007404D9">
        <w:rPr>
          <w:rFonts w:asciiTheme="majorHAnsi" w:hAnsiTheme="majorHAnsi"/>
          <w:color w:val="000000"/>
        </w:rPr>
        <w:t xml:space="preserve"> </w:t>
      </w:r>
      <w:r w:rsidR="00823ACF">
        <w:rPr>
          <w:rFonts w:asciiTheme="majorHAnsi" w:hAnsiTheme="majorHAnsi"/>
          <w:color w:val="000000"/>
        </w:rPr>
        <w:t xml:space="preserve">to adjust </w:t>
      </w:r>
      <w:r w:rsidR="00CF3D57">
        <w:rPr>
          <w:rFonts w:asciiTheme="majorHAnsi" w:hAnsiTheme="majorHAnsi"/>
          <w:color w:val="000000"/>
        </w:rPr>
        <w:t>them</w:t>
      </w:r>
      <w:r w:rsidR="00823ACF">
        <w:rPr>
          <w:rFonts w:asciiTheme="majorHAnsi" w:hAnsiTheme="majorHAnsi"/>
          <w:color w:val="000000"/>
        </w:rPr>
        <w:t xml:space="preserve"> to regulatory portfolios</w:t>
      </w:r>
      <w:r w:rsidRPr="007404D9">
        <w:rPr>
          <w:rFonts w:asciiTheme="majorHAnsi" w:hAnsiTheme="majorHAnsi"/>
          <w:color w:val="000000"/>
        </w:rPr>
        <w:t xml:space="preserve">; </w:t>
      </w:r>
      <w:r w:rsidR="00285336" w:rsidRPr="00285336">
        <w:rPr>
          <w:rFonts w:asciiTheme="majorHAnsi" w:hAnsiTheme="majorHAnsi"/>
          <w:color w:val="000000"/>
        </w:rPr>
        <w:t>to allow entities to apply exceptions evaluated by expert judgement in the materiality analysis</w:t>
      </w:r>
      <w:r w:rsidRPr="007404D9">
        <w:rPr>
          <w:rFonts w:asciiTheme="majorHAnsi" w:hAnsiTheme="majorHAnsi"/>
          <w:color w:val="000000"/>
        </w:rPr>
        <w:t xml:space="preserve">; and </w:t>
      </w:r>
      <w:r w:rsidR="006B0531">
        <w:rPr>
          <w:rFonts w:asciiTheme="majorHAnsi" w:hAnsiTheme="majorHAnsi"/>
          <w:color w:val="000000"/>
        </w:rPr>
        <w:t xml:space="preserve">the </w:t>
      </w:r>
      <w:r w:rsidRPr="007404D9">
        <w:rPr>
          <w:rFonts w:asciiTheme="majorHAnsi" w:hAnsiTheme="majorHAnsi"/>
          <w:color w:val="000000"/>
        </w:rPr>
        <w:t xml:space="preserve">voluntary use by </w:t>
      </w:r>
      <w:r w:rsidR="00823ACF">
        <w:rPr>
          <w:rFonts w:asciiTheme="majorHAnsi" w:hAnsiTheme="majorHAnsi"/>
          <w:color w:val="000000"/>
        </w:rPr>
        <w:t xml:space="preserve">entities </w:t>
      </w:r>
      <w:r w:rsidRPr="007404D9">
        <w:rPr>
          <w:rFonts w:asciiTheme="majorHAnsi" w:hAnsiTheme="majorHAnsi"/>
          <w:color w:val="000000"/>
        </w:rPr>
        <w:t>of more restrictive criteria</w:t>
      </w:r>
      <w:r w:rsidR="00CF3D57">
        <w:rPr>
          <w:rFonts w:asciiTheme="majorHAnsi" w:hAnsiTheme="majorHAnsi"/>
          <w:color w:val="000000"/>
        </w:rPr>
        <w:t xml:space="preserve"> should be allowed</w:t>
      </w:r>
      <w:r w:rsidRPr="007404D9">
        <w:rPr>
          <w:rFonts w:asciiTheme="majorHAnsi" w:hAnsiTheme="majorHAnsi"/>
          <w:color w:val="000000"/>
        </w:rPr>
        <w:t>.</w:t>
      </w:r>
    </w:p>
    <w:p w:rsidR="00A83EFF" w:rsidRPr="00A83EFF" w:rsidRDefault="00A83EFF" w:rsidP="00A83EFF">
      <w:pPr>
        <w:tabs>
          <w:tab w:val="left" w:pos="426"/>
        </w:tabs>
        <w:jc w:val="both"/>
        <w:rPr>
          <w:rFonts w:asciiTheme="majorHAnsi" w:hAnsiTheme="majorHAnsi" w:cs="Arial"/>
          <w:color w:val="000000"/>
        </w:rPr>
      </w:pPr>
    </w:p>
    <w:p w:rsidR="00A83EFF" w:rsidRPr="00A83EFF" w:rsidRDefault="00A83EFF" w:rsidP="00A83EFF">
      <w:pPr>
        <w:tabs>
          <w:tab w:val="left" w:pos="426"/>
        </w:tabs>
        <w:jc w:val="both"/>
        <w:rPr>
          <w:rFonts w:asciiTheme="majorHAnsi" w:hAnsiTheme="majorHAnsi" w:cs="Arial"/>
          <w:b/>
          <w:bCs/>
          <w:color w:val="000000"/>
        </w:rPr>
      </w:pPr>
      <w:r>
        <w:rPr>
          <w:rFonts w:asciiTheme="majorHAnsi" w:hAnsiTheme="majorHAnsi"/>
          <w:b/>
          <w:color w:val="000000"/>
        </w:rPr>
        <w:t>Q2. Do you agree with the proposed maximum levels of the thresholds?</w:t>
      </w:r>
    </w:p>
    <w:p w:rsidR="00A83EFF" w:rsidRPr="00A83EFF" w:rsidRDefault="00A83EFF" w:rsidP="00A83EFF">
      <w:pPr>
        <w:tabs>
          <w:tab w:val="left" w:pos="426"/>
        </w:tabs>
        <w:jc w:val="both"/>
        <w:rPr>
          <w:rFonts w:asciiTheme="majorHAnsi" w:hAnsiTheme="majorHAnsi" w:cs="Arial"/>
          <w:bCs/>
          <w:color w:val="000000"/>
        </w:rPr>
      </w:pPr>
    </w:p>
    <w:p w:rsidR="00A83EFF" w:rsidRPr="00A83EFF" w:rsidRDefault="00A83EFF" w:rsidP="00A83EFF">
      <w:pPr>
        <w:tabs>
          <w:tab w:val="left" w:pos="426"/>
        </w:tabs>
        <w:jc w:val="both"/>
        <w:rPr>
          <w:rFonts w:asciiTheme="majorHAnsi" w:hAnsiTheme="majorHAnsi" w:cs="Arial"/>
          <w:color w:val="000000"/>
        </w:rPr>
      </w:pPr>
      <w:r>
        <w:rPr>
          <w:rFonts w:asciiTheme="majorHAnsi" w:hAnsiTheme="majorHAnsi"/>
          <w:color w:val="000000"/>
        </w:rPr>
        <w:t xml:space="preserve">The AEB considers that the </w:t>
      </w:r>
      <w:r w:rsidR="0099606B">
        <w:rPr>
          <w:rFonts w:asciiTheme="majorHAnsi" w:hAnsiTheme="majorHAnsi"/>
          <w:color w:val="000000"/>
        </w:rPr>
        <w:t xml:space="preserve">European Banking Federation </w:t>
      </w:r>
      <w:r>
        <w:rPr>
          <w:rFonts w:asciiTheme="majorHAnsi" w:hAnsiTheme="majorHAnsi"/>
          <w:color w:val="000000"/>
        </w:rPr>
        <w:t>proposed figure for the relative threshold is reasonable</w:t>
      </w:r>
      <w:r w:rsidR="0099606B">
        <w:rPr>
          <w:rFonts w:asciiTheme="majorHAnsi" w:hAnsiTheme="majorHAnsi"/>
          <w:color w:val="000000"/>
        </w:rPr>
        <w:t xml:space="preserve">. </w:t>
      </w:r>
      <w:r>
        <w:rPr>
          <w:rFonts w:asciiTheme="majorHAnsi" w:hAnsiTheme="majorHAnsi"/>
          <w:color w:val="000000"/>
        </w:rPr>
        <w:t xml:space="preserve"> </w:t>
      </w:r>
      <w:r w:rsidR="0099606B">
        <w:rPr>
          <w:rFonts w:asciiTheme="majorHAnsi" w:hAnsiTheme="majorHAnsi"/>
          <w:color w:val="000000"/>
        </w:rPr>
        <w:t>Additionally</w:t>
      </w:r>
      <w:r>
        <w:rPr>
          <w:rFonts w:asciiTheme="majorHAnsi" w:hAnsiTheme="majorHAnsi"/>
          <w:color w:val="000000"/>
        </w:rPr>
        <w:t xml:space="preserve"> we believe that </w:t>
      </w:r>
      <w:r w:rsidR="0099606B">
        <w:rPr>
          <w:rFonts w:asciiTheme="majorHAnsi" w:hAnsiTheme="majorHAnsi"/>
          <w:color w:val="000000"/>
        </w:rPr>
        <w:t xml:space="preserve">a better approximation could be to define one threshold for each regulatory portfolio and that absolute thresholds should be higher than the ones proposed in the draft. </w:t>
      </w:r>
    </w:p>
    <w:p w:rsidR="00A83EFF" w:rsidRPr="00A83EFF" w:rsidRDefault="00A83EFF" w:rsidP="00A83EFF">
      <w:pPr>
        <w:tabs>
          <w:tab w:val="left" w:pos="426"/>
        </w:tabs>
        <w:jc w:val="both"/>
        <w:rPr>
          <w:rFonts w:asciiTheme="majorHAnsi" w:hAnsiTheme="majorHAnsi" w:cs="Arial"/>
          <w:color w:val="000000"/>
        </w:rPr>
      </w:pPr>
    </w:p>
    <w:p w:rsidR="00A76CF1" w:rsidRPr="006D60CF" w:rsidRDefault="00A76CF1" w:rsidP="00A83EFF">
      <w:pPr>
        <w:tabs>
          <w:tab w:val="left" w:pos="426"/>
        </w:tabs>
        <w:jc w:val="both"/>
        <w:rPr>
          <w:rFonts w:asciiTheme="majorHAnsi" w:hAnsiTheme="majorHAnsi" w:cs="Arial"/>
          <w:b/>
          <w:color w:val="000000"/>
        </w:rPr>
      </w:pPr>
      <w:r>
        <w:rPr>
          <w:rFonts w:asciiTheme="majorHAnsi" w:hAnsiTheme="majorHAnsi"/>
          <w:b/>
          <w:color w:val="000000"/>
        </w:rPr>
        <w:t>Q3. How much time is necessary to implement the threshold set by the competent authority according to this proposed draft RTS? What is the scope of work required to achieve compliance? [B1]</w:t>
      </w:r>
    </w:p>
    <w:p w:rsidR="00A76CF1" w:rsidRDefault="00A76CF1" w:rsidP="00A76CF1">
      <w:pPr>
        <w:tabs>
          <w:tab w:val="left" w:pos="426"/>
        </w:tabs>
        <w:jc w:val="both"/>
        <w:rPr>
          <w:rFonts w:asciiTheme="majorHAnsi" w:hAnsiTheme="majorHAnsi" w:cs="Arial"/>
          <w:color w:val="000000"/>
        </w:rPr>
      </w:pPr>
    </w:p>
    <w:p w:rsidR="00A83EFF" w:rsidRPr="00A83EFF" w:rsidRDefault="00882D99" w:rsidP="00A76CF1">
      <w:pPr>
        <w:tabs>
          <w:tab w:val="left" w:pos="426"/>
        </w:tabs>
        <w:jc w:val="both"/>
        <w:rPr>
          <w:rFonts w:asciiTheme="majorHAnsi" w:hAnsiTheme="majorHAnsi" w:cs="Arial"/>
          <w:color w:val="000000"/>
        </w:rPr>
      </w:pPr>
      <w:r>
        <w:rPr>
          <w:rFonts w:asciiTheme="majorHAnsi" w:hAnsiTheme="majorHAnsi"/>
          <w:color w:val="000000"/>
        </w:rPr>
        <w:t xml:space="preserve">The Spanish Banking Association (AEB) </w:t>
      </w:r>
      <w:r w:rsidR="00A83EFF">
        <w:rPr>
          <w:rFonts w:asciiTheme="majorHAnsi" w:hAnsiTheme="majorHAnsi"/>
          <w:color w:val="000000"/>
        </w:rPr>
        <w:t>considers that a term of 2 years is reasonable under the conditions indicated in the previous sections, i.e. allowing institutions to use more restrictive criteria and considering that the establishment of the threshold does not constitute a significant change.</w:t>
      </w:r>
    </w:p>
    <w:p w:rsidR="00A83EFF" w:rsidRPr="00A83EFF" w:rsidRDefault="00A83EFF" w:rsidP="00A83EFF">
      <w:pPr>
        <w:tabs>
          <w:tab w:val="left" w:pos="426"/>
        </w:tabs>
        <w:jc w:val="both"/>
        <w:rPr>
          <w:rFonts w:asciiTheme="majorHAnsi" w:hAnsiTheme="majorHAnsi" w:cs="Arial"/>
          <w:color w:val="000000"/>
        </w:rPr>
      </w:pPr>
    </w:p>
    <w:p w:rsidR="00A83EFF" w:rsidRPr="00A83EFF" w:rsidRDefault="00A83EFF" w:rsidP="00A83EFF">
      <w:pPr>
        <w:tabs>
          <w:tab w:val="left" w:pos="426"/>
        </w:tabs>
        <w:jc w:val="both"/>
        <w:rPr>
          <w:rFonts w:asciiTheme="majorHAnsi" w:hAnsiTheme="majorHAnsi" w:cs="Arial"/>
          <w:color w:val="000000"/>
        </w:rPr>
      </w:pPr>
      <w:r>
        <w:rPr>
          <w:rFonts w:asciiTheme="majorHAnsi" w:hAnsiTheme="majorHAnsi"/>
          <w:color w:val="000000"/>
        </w:rPr>
        <w:t>Otherwise, the time required would be longer, for the following reasons:</w:t>
      </w:r>
    </w:p>
    <w:p w:rsidR="00A83EFF" w:rsidRPr="00A83EFF" w:rsidRDefault="00A83EFF" w:rsidP="00A83EFF">
      <w:pPr>
        <w:tabs>
          <w:tab w:val="left" w:pos="426"/>
        </w:tabs>
        <w:jc w:val="both"/>
        <w:rPr>
          <w:rFonts w:asciiTheme="majorHAnsi" w:hAnsiTheme="majorHAnsi" w:cs="Arial"/>
          <w:color w:val="000000"/>
        </w:rPr>
      </w:pPr>
    </w:p>
    <w:p w:rsidR="00A83EFF" w:rsidRPr="00A83EFF" w:rsidRDefault="00A83EFF" w:rsidP="00A76CF1">
      <w:pPr>
        <w:tabs>
          <w:tab w:val="left" w:pos="284"/>
        </w:tabs>
        <w:ind w:left="284" w:hanging="284"/>
        <w:jc w:val="both"/>
        <w:rPr>
          <w:rFonts w:asciiTheme="majorHAnsi" w:hAnsiTheme="majorHAnsi" w:cs="Arial"/>
          <w:color w:val="000000"/>
        </w:rPr>
      </w:pPr>
      <w:r>
        <w:rPr>
          <w:rFonts w:asciiTheme="majorHAnsi" w:hAnsiTheme="majorHAnsi"/>
          <w:color w:val="000000"/>
        </w:rPr>
        <w:t>•</w:t>
      </w:r>
      <w:r>
        <w:tab/>
      </w:r>
      <w:r>
        <w:rPr>
          <w:rFonts w:asciiTheme="majorHAnsi" w:hAnsiTheme="majorHAnsi"/>
          <w:color w:val="000000"/>
        </w:rPr>
        <w:t>The changes would imply significant technological developments that take time to implement. Similarly, the time required for the accreditation and validation of the developments mentioned would have to be considered.</w:t>
      </w:r>
    </w:p>
    <w:p w:rsidR="00A83EFF" w:rsidRPr="00A83EFF" w:rsidRDefault="00A83EFF" w:rsidP="00A83EFF">
      <w:pPr>
        <w:tabs>
          <w:tab w:val="left" w:pos="426"/>
        </w:tabs>
        <w:jc w:val="both"/>
        <w:rPr>
          <w:rFonts w:asciiTheme="majorHAnsi" w:hAnsiTheme="majorHAnsi" w:cs="Arial"/>
          <w:color w:val="000000"/>
        </w:rPr>
      </w:pPr>
    </w:p>
    <w:p w:rsidR="00A83EFF" w:rsidRPr="00A83EFF" w:rsidRDefault="00A83EFF" w:rsidP="00A76CF1">
      <w:pPr>
        <w:tabs>
          <w:tab w:val="left" w:pos="284"/>
        </w:tabs>
        <w:ind w:left="284" w:hanging="284"/>
        <w:jc w:val="both"/>
        <w:rPr>
          <w:rFonts w:asciiTheme="majorHAnsi" w:hAnsiTheme="majorHAnsi" w:cs="Arial"/>
          <w:color w:val="000000"/>
        </w:rPr>
      </w:pPr>
      <w:r>
        <w:rPr>
          <w:rFonts w:asciiTheme="majorHAnsi" w:hAnsiTheme="majorHAnsi"/>
          <w:color w:val="000000"/>
        </w:rPr>
        <w:t>•</w:t>
      </w:r>
      <w:r>
        <w:tab/>
      </w:r>
      <w:r>
        <w:rPr>
          <w:rFonts w:asciiTheme="majorHAnsi" w:hAnsiTheme="majorHAnsi"/>
          <w:color w:val="000000"/>
        </w:rPr>
        <w:t>The processes of recalibrating the IRB models of all the portfolios could mean 1 to 2 years of calculations, documentation, reviews (audit and validation) and governance.</w:t>
      </w:r>
    </w:p>
    <w:p w:rsidR="00A83EFF" w:rsidRPr="00A83EFF" w:rsidRDefault="00A83EFF" w:rsidP="00A83EFF">
      <w:pPr>
        <w:tabs>
          <w:tab w:val="left" w:pos="426"/>
        </w:tabs>
        <w:jc w:val="both"/>
        <w:rPr>
          <w:rFonts w:asciiTheme="majorHAnsi" w:hAnsiTheme="majorHAnsi" w:cs="Arial"/>
          <w:color w:val="000000"/>
        </w:rPr>
      </w:pPr>
    </w:p>
    <w:p w:rsidR="00A83EFF" w:rsidRPr="00A83EFF" w:rsidRDefault="00AC0A3C" w:rsidP="00A76CF1">
      <w:pPr>
        <w:tabs>
          <w:tab w:val="left" w:pos="284"/>
        </w:tabs>
        <w:ind w:left="284" w:hanging="284"/>
        <w:jc w:val="both"/>
        <w:rPr>
          <w:rFonts w:asciiTheme="majorHAnsi" w:hAnsiTheme="majorHAnsi" w:cs="Arial"/>
          <w:color w:val="000000"/>
        </w:rPr>
      </w:pPr>
      <w:r>
        <w:rPr>
          <w:rFonts w:asciiTheme="majorHAnsi" w:hAnsiTheme="majorHAnsi"/>
          <w:color w:val="000000"/>
        </w:rPr>
        <w:t>•</w:t>
      </w:r>
      <w:r>
        <w:tab/>
      </w:r>
      <w:r>
        <w:rPr>
          <w:rFonts w:asciiTheme="majorHAnsi" w:hAnsiTheme="majorHAnsi"/>
          <w:color w:val="000000"/>
        </w:rPr>
        <w:t>If the impact of the change is considered significant, the recalibration and review of the models would have to be signed off by the</w:t>
      </w:r>
      <w:r w:rsidR="00D20EAD">
        <w:rPr>
          <w:rFonts w:asciiTheme="majorHAnsi" w:hAnsiTheme="majorHAnsi"/>
          <w:color w:val="000000"/>
        </w:rPr>
        <w:t xml:space="preserve"> </w:t>
      </w:r>
      <w:r w:rsidR="006C03E9">
        <w:rPr>
          <w:rFonts w:asciiTheme="majorHAnsi" w:hAnsiTheme="majorHAnsi"/>
          <w:color w:val="000000"/>
        </w:rPr>
        <w:t xml:space="preserve">competent </w:t>
      </w:r>
      <w:r>
        <w:rPr>
          <w:rFonts w:asciiTheme="majorHAnsi" w:hAnsiTheme="majorHAnsi"/>
          <w:color w:val="000000"/>
        </w:rPr>
        <w:t>supervisor. This has also its own timeframe that should be factored into the implementation period. Some jurisdictions may take as much as a year for a supervisory review.</w:t>
      </w:r>
    </w:p>
    <w:p w:rsidR="006D60CF" w:rsidRDefault="006D60CF" w:rsidP="00A83EFF">
      <w:pPr>
        <w:tabs>
          <w:tab w:val="left" w:pos="426"/>
        </w:tabs>
        <w:jc w:val="both"/>
        <w:rPr>
          <w:rFonts w:asciiTheme="majorHAnsi" w:hAnsiTheme="majorHAnsi" w:cs="Arial"/>
          <w:color w:val="000000"/>
        </w:rPr>
      </w:pPr>
    </w:p>
    <w:p w:rsidR="00A76CF1" w:rsidRPr="00A76CF1" w:rsidRDefault="00A76CF1" w:rsidP="00A83EFF">
      <w:pPr>
        <w:tabs>
          <w:tab w:val="left" w:pos="426"/>
        </w:tabs>
        <w:jc w:val="both"/>
        <w:rPr>
          <w:rFonts w:asciiTheme="majorHAnsi" w:hAnsiTheme="majorHAnsi" w:cs="Arial"/>
          <w:b/>
          <w:color w:val="000000"/>
        </w:rPr>
      </w:pPr>
      <w:r>
        <w:rPr>
          <w:rFonts w:asciiTheme="majorHAnsi" w:hAnsiTheme="majorHAnsi"/>
          <w:b/>
          <w:color w:val="000000"/>
        </w:rPr>
        <w:t>Q4. Do you agree with the assessment of costs and benefits of these proposed draft RTS? [B1]</w:t>
      </w:r>
    </w:p>
    <w:p w:rsidR="00A83EFF" w:rsidRPr="00A76CF1" w:rsidRDefault="00A83EFF" w:rsidP="00A83EFF">
      <w:pPr>
        <w:tabs>
          <w:tab w:val="left" w:pos="426"/>
        </w:tabs>
        <w:jc w:val="both"/>
        <w:rPr>
          <w:rFonts w:asciiTheme="majorHAnsi" w:hAnsiTheme="majorHAnsi" w:cs="Arial"/>
          <w:color w:val="000000"/>
        </w:rPr>
      </w:pPr>
    </w:p>
    <w:p w:rsidR="00A83EFF" w:rsidRPr="00A83EFF" w:rsidRDefault="00A83EFF" w:rsidP="00A83EFF">
      <w:pPr>
        <w:tabs>
          <w:tab w:val="left" w:pos="426"/>
        </w:tabs>
        <w:jc w:val="both"/>
        <w:rPr>
          <w:rFonts w:asciiTheme="majorHAnsi" w:hAnsiTheme="majorHAnsi" w:cs="Arial"/>
          <w:color w:val="000000"/>
        </w:rPr>
      </w:pPr>
      <w:r>
        <w:rPr>
          <w:rFonts w:asciiTheme="majorHAnsi" w:hAnsiTheme="majorHAnsi"/>
          <w:color w:val="000000"/>
        </w:rPr>
        <w:t>As indicated with regard to the timetable in the previous answer, the costs will depend on the definitive text of the regulations, and could be very high if the aspects discussed with regard to the possibility of considering more restrictive criteria and not classing the establishment of the threshold as a significant change are not borne in mind.</w:t>
      </w:r>
    </w:p>
    <w:p w:rsidR="00A83EFF" w:rsidRPr="00A83EFF" w:rsidRDefault="00A83EFF" w:rsidP="00A83EFF">
      <w:pPr>
        <w:tabs>
          <w:tab w:val="left" w:pos="426"/>
        </w:tabs>
        <w:jc w:val="both"/>
        <w:rPr>
          <w:rFonts w:asciiTheme="majorHAnsi" w:hAnsiTheme="majorHAnsi" w:cs="Arial"/>
          <w:color w:val="000000"/>
        </w:rPr>
      </w:pPr>
    </w:p>
    <w:p w:rsidR="00A83EFF" w:rsidRPr="006C03E9" w:rsidRDefault="00AC0A3C" w:rsidP="00A83EFF">
      <w:pPr>
        <w:tabs>
          <w:tab w:val="left" w:pos="426"/>
        </w:tabs>
        <w:jc w:val="both"/>
        <w:rPr>
          <w:rFonts w:asciiTheme="majorHAnsi" w:hAnsiTheme="majorHAnsi"/>
        </w:rPr>
      </w:pPr>
      <w:r w:rsidRPr="006C03E9">
        <w:rPr>
          <w:rFonts w:asciiTheme="majorHAnsi" w:hAnsiTheme="majorHAnsi"/>
        </w:rPr>
        <w:t>It may also be reasonable to allow institutions to opt for some</w:t>
      </w:r>
      <w:r w:rsidRPr="00F21571">
        <w:rPr>
          <w:rFonts w:asciiTheme="majorHAnsi" w:hAnsiTheme="majorHAnsi"/>
          <w:color w:val="FF0000"/>
        </w:rPr>
        <w:t xml:space="preserve"> </w:t>
      </w:r>
      <w:r w:rsidRPr="00882D99">
        <w:rPr>
          <w:rFonts w:asciiTheme="majorHAnsi" w:hAnsiTheme="majorHAnsi"/>
        </w:rPr>
        <w:t>implementation expedients</w:t>
      </w:r>
      <w:r w:rsidR="00285336" w:rsidRPr="00285336">
        <w:rPr>
          <w:rFonts w:asciiTheme="majorHAnsi" w:hAnsiTheme="majorHAnsi"/>
        </w:rPr>
        <w:t>,</w:t>
      </w:r>
      <w:r w:rsidRPr="00F21571">
        <w:rPr>
          <w:rFonts w:asciiTheme="majorHAnsi" w:hAnsiTheme="majorHAnsi"/>
          <w:color w:val="FF0000"/>
        </w:rPr>
        <w:t xml:space="preserve"> </w:t>
      </w:r>
      <w:r w:rsidRPr="006C03E9">
        <w:rPr>
          <w:rFonts w:asciiTheme="majorHAnsi" w:hAnsiTheme="majorHAnsi"/>
        </w:rPr>
        <w:t xml:space="preserve">as long as they do not cause a significant deviation from the proposed </w:t>
      </w:r>
      <w:r w:rsidRPr="006C03E9">
        <w:rPr>
          <w:rFonts w:asciiTheme="majorHAnsi" w:hAnsiTheme="majorHAnsi"/>
        </w:rPr>
        <w:lastRenderedPageBreak/>
        <w:t>materiality threshold or they are proven to be more conservative than the approaches proposed. For example:</w:t>
      </w:r>
    </w:p>
    <w:p w:rsidR="00A76CF1" w:rsidRPr="006C03E9" w:rsidRDefault="00A76CF1" w:rsidP="00A83EFF">
      <w:pPr>
        <w:tabs>
          <w:tab w:val="left" w:pos="426"/>
        </w:tabs>
        <w:jc w:val="both"/>
        <w:rPr>
          <w:rFonts w:asciiTheme="majorHAnsi" w:hAnsiTheme="majorHAnsi"/>
        </w:rPr>
      </w:pPr>
    </w:p>
    <w:p w:rsidR="00A83EFF" w:rsidRPr="006C03E9" w:rsidRDefault="00AC0A3C" w:rsidP="00A76CF1">
      <w:pPr>
        <w:tabs>
          <w:tab w:val="left" w:pos="284"/>
        </w:tabs>
        <w:ind w:left="284" w:hanging="284"/>
        <w:jc w:val="both"/>
        <w:rPr>
          <w:rFonts w:asciiTheme="majorHAnsi" w:hAnsiTheme="majorHAnsi"/>
        </w:rPr>
      </w:pPr>
      <w:r w:rsidRPr="006C03E9">
        <w:rPr>
          <w:rFonts w:asciiTheme="majorHAnsi" w:hAnsiTheme="majorHAnsi"/>
        </w:rPr>
        <w:t>-</w:t>
      </w:r>
      <w:r w:rsidRPr="006C03E9">
        <w:rPr>
          <w:rFonts w:asciiTheme="majorHAnsi" w:hAnsiTheme="majorHAnsi"/>
        </w:rPr>
        <w:tab/>
        <w:t>Institutions may choose to include all past due amounts, rather than only those 90 days overdue, in the numerator.</w:t>
      </w:r>
    </w:p>
    <w:p w:rsidR="00A76CF1" w:rsidRPr="00A83EFF" w:rsidRDefault="00A76CF1" w:rsidP="00A83EFF">
      <w:pPr>
        <w:tabs>
          <w:tab w:val="left" w:pos="426"/>
        </w:tabs>
        <w:jc w:val="both"/>
        <w:rPr>
          <w:rFonts w:asciiTheme="majorHAnsi" w:hAnsiTheme="majorHAnsi" w:cs="Arial"/>
          <w:color w:val="000000"/>
        </w:rPr>
      </w:pPr>
    </w:p>
    <w:p w:rsidR="00A83EFF" w:rsidRPr="00A83EFF" w:rsidRDefault="00AC0A3C" w:rsidP="00A76CF1">
      <w:pPr>
        <w:tabs>
          <w:tab w:val="left" w:pos="284"/>
        </w:tabs>
        <w:ind w:left="284" w:hanging="284"/>
        <w:jc w:val="both"/>
        <w:rPr>
          <w:rFonts w:asciiTheme="majorHAnsi" w:hAnsiTheme="majorHAnsi" w:cs="Arial"/>
          <w:color w:val="000000"/>
        </w:rPr>
      </w:pPr>
      <w:r>
        <w:rPr>
          <w:rFonts w:asciiTheme="majorHAnsi" w:hAnsiTheme="majorHAnsi"/>
          <w:color w:val="000000"/>
        </w:rPr>
        <w:t>-</w:t>
      </w:r>
      <w:r>
        <w:tab/>
      </w:r>
      <w:r>
        <w:rPr>
          <w:rFonts w:asciiTheme="majorHAnsi" w:hAnsiTheme="majorHAnsi"/>
          <w:color w:val="000000"/>
        </w:rPr>
        <w:t xml:space="preserve">Apply the new threshold for capital calculations </w:t>
      </w:r>
      <w:r w:rsidR="00285C13">
        <w:rPr>
          <w:rFonts w:asciiTheme="majorHAnsi" w:hAnsiTheme="majorHAnsi"/>
          <w:color w:val="000000"/>
        </w:rPr>
        <w:t xml:space="preserve">leaving </w:t>
      </w:r>
      <w:r>
        <w:rPr>
          <w:rFonts w:asciiTheme="majorHAnsi" w:hAnsiTheme="majorHAnsi"/>
          <w:color w:val="000000"/>
        </w:rPr>
        <w:t>historical estimations calibrated with the entities’ previous materiality definitions (i.e. a prospective implementation) provided that the previous materiality definitions are more conservative.</w:t>
      </w:r>
    </w:p>
    <w:p w:rsidR="00A83EFF" w:rsidRDefault="00A83EFF" w:rsidP="00A83EFF">
      <w:pPr>
        <w:tabs>
          <w:tab w:val="left" w:pos="426"/>
        </w:tabs>
        <w:jc w:val="both"/>
        <w:rPr>
          <w:rFonts w:asciiTheme="majorHAnsi" w:hAnsiTheme="majorHAnsi" w:cs="Arial"/>
          <w:color w:val="000000"/>
        </w:rPr>
      </w:pPr>
    </w:p>
    <w:p w:rsidR="00A76CF1" w:rsidRPr="00A76CF1" w:rsidRDefault="00A76CF1" w:rsidP="00A83EFF">
      <w:pPr>
        <w:tabs>
          <w:tab w:val="left" w:pos="426"/>
        </w:tabs>
        <w:jc w:val="both"/>
        <w:rPr>
          <w:rFonts w:asciiTheme="majorHAnsi" w:hAnsiTheme="majorHAnsi" w:cs="Arial"/>
          <w:b/>
          <w:color w:val="000000"/>
        </w:rPr>
      </w:pPr>
      <w:r>
        <w:rPr>
          <w:rFonts w:asciiTheme="majorHAnsi" w:hAnsiTheme="majorHAnsi"/>
          <w:b/>
          <w:color w:val="000000"/>
        </w:rPr>
        <w:t>Q5. What is the expected impact of these proposed draft RTS? [B1]</w:t>
      </w:r>
    </w:p>
    <w:p w:rsidR="00A76CF1" w:rsidRPr="00A76CF1" w:rsidRDefault="00A76CF1" w:rsidP="00A83EFF">
      <w:pPr>
        <w:tabs>
          <w:tab w:val="left" w:pos="426"/>
        </w:tabs>
        <w:jc w:val="both"/>
        <w:rPr>
          <w:rFonts w:asciiTheme="majorHAnsi" w:hAnsiTheme="majorHAnsi" w:cs="Arial"/>
          <w:color w:val="000000"/>
        </w:rPr>
      </w:pPr>
    </w:p>
    <w:p w:rsidR="00A83EFF" w:rsidRPr="00A83EFF" w:rsidRDefault="00A83EFF" w:rsidP="00A83EFF">
      <w:pPr>
        <w:tabs>
          <w:tab w:val="left" w:pos="426"/>
        </w:tabs>
        <w:jc w:val="both"/>
        <w:rPr>
          <w:rFonts w:asciiTheme="majorHAnsi" w:hAnsiTheme="majorHAnsi" w:cs="Arial"/>
          <w:color w:val="000000"/>
        </w:rPr>
      </w:pPr>
      <w:r>
        <w:rPr>
          <w:rFonts w:asciiTheme="majorHAnsi" w:hAnsiTheme="majorHAnsi"/>
          <w:color w:val="000000"/>
        </w:rPr>
        <w:t>The potential impact depends very much on the final decisions adopted, in line with our answers to Q3 and Q4.</w:t>
      </w:r>
    </w:p>
    <w:p w:rsidR="00A83EFF" w:rsidRPr="00A83EFF" w:rsidRDefault="00A83EFF" w:rsidP="00F60A0C">
      <w:pPr>
        <w:tabs>
          <w:tab w:val="left" w:pos="426"/>
        </w:tabs>
        <w:jc w:val="both"/>
        <w:rPr>
          <w:rFonts w:asciiTheme="majorHAnsi" w:hAnsiTheme="majorHAnsi" w:cs="Arial"/>
          <w:color w:val="000000"/>
        </w:rPr>
      </w:pPr>
    </w:p>
    <w:sectPr w:rsidR="00A83EFF" w:rsidRPr="00A83EFF" w:rsidSect="00416C7C">
      <w:headerReference w:type="default" r:id="rId8"/>
      <w:footerReference w:type="default" r:id="rId9"/>
      <w:headerReference w:type="first" r:id="rId10"/>
      <w:footerReference w:type="first" r:id="rId11"/>
      <w:pgSz w:w="11906" w:h="16838"/>
      <w:pgMar w:top="1722" w:right="1274" w:bottom="1134" w:left="2835" w:header="709"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423" w:rsidRDefault="00E44423" w:rsidP="008131F5">
      <w:r>
        <w:separator/>
      </w:r>
    </w:p>
  </w:endnote>
  <w:endnote w:type="continuationSeparator" w:id="0">
    <w:p w:rsidR="00E44423" w:rsidRDefault="00E44423" w:rsidP="008131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EUAlbertina">
    <w:altName w:val="EU Albertina"/>
    <w:charset w:val="00"/>
    <w:family w:val="auto"/>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60C" w:rsidRPr="00F56917" w:rsidRDefault="00F1060C" w:rsidP="00F56917">
    <w:pPr>
      <w:pStyle w:val="Piedepgina"/>
      <w:pBdr>
        <w:bottom w:val="single" w:sz="4" w:space="1" w:color="007336"/>
      </w:pBdr>
      <w:jc w:val="right"/>
      <w:rPr>
        <w:sz w:val="20"/>
      </w:rPr>
    </w:pPr>
  </w:p>
  <w:p w:rsidR="00F1060C" w:rsidRPr="00F56917" w:rsidRDefault="003200F3">
    <w:pPr>
      <w:pStyle w:val="Piedepgina"/>
      <w:jc w:val="right"/>
      <w:rPr>
        <w:sz w:val="20"/>
      </w:rPr>
    </w:pPr>
    <w:sdt>
      <w:sdtPr>
        <w:rPr>
          <w:sz w:val="20"/>
        </w:rPr>
        <w:id w:val="14465994"/>
        <w:docPartObj>
          <w:docPartGallery w:val="Page Numbers (Bottom of Page)"/>
          <w:docPartUnique/>
        </w:docPartObj>
      </w:sdtPr>
      <w:sdtContent>
        <w:r w:rsidRPr="00F56917">
          <w:rPr>
            <w:sz w:val="20"/>
          </w:rPr>
          <w:fldChar w:fldCharType="begin"/>
        </w:r>
        <w:r w:rsidR="00F1060C" w:rsidRPr="00F56917">
          <w:rPr>
            <w:sz w:val="20"/>
          </w:rPr>
          <w:instrText xml:space="preserve"> PAGE   \* MERGEFORMAT </w:instrText>
        </w:r>
        <w:r w:rsidRPr="00F56917">
          <w:rPr>
            <w:sz w:val="20"/>
          </w:rPr>
          <w:fldChar w:fldCharType="separate"/>
        </w:r>
        <w:r w:rsidR="00BE51B8">
          <w:rPr>
            <w:noProof/>
            <w:sz w:val="20"/>
          </w:rPr>
          <w:t>5</w:t>
        </w:r>
        <w:r w:rsidRPr="00F56917">
          <w:rPr>
            <w:sz w:val="20"/>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60C" w:rsidRPr="00F56917" w:rsidRDefault="00F1060C" w:rsidP="00F56917">
    <w:pPr>
      <w:pStyle w:val="Piedepgina"/>
      <w:pBdr>
        <w:bottom w:val="single" w:sz="4" w:space="1" w:color="007336"/>
      </w:pBdr>
      <w:jc w:val="right"/>
      <w:rPr>
        <w:sz w:val="20"/>
      </w:rPr>
    </w:pPr>
  </w:p>
  <w:p w:rsidR="00F1060C" w:rsidRPr="00F56917" w:rsidRDefault="00F1060C">
    <w:pPr>
      <w:pStyle w:val="Piedepgina"/>
      <w:jc w:val="righ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423" w:rsidRDefault="00E44423" w:rsidP="008131F5">
      <w:r>
        <w:separator/>
      </w:r>
    </w:p>
  </w:footnote>
  <w:footnote w:type="continuationSeparator" w:id="0">
    <w:p w:rsidR="00E44423" w:rsidRDefault="00E44423" w:rsidP="008131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60C" w:rsidRDefault="00F1060C" w:rsidP="008131F5">
    <w:pPr>
      <w:pStyle w:val="Encabezado"/>
      <w:tabs>
        <w:tab w:val="clear" w:pos="4252"/>
        <w:tab w:val="clear" w:pos="8504"/>
      </w:tabs>
    </w:pPr>
    <w:r>
      <w:rPr>
        <w:noProof/>
        <w:lang w:val="es-ES" w:eastAsia="es-ES" w:bidi="ar-SA"/>
      </w:rPr>
      <w:drawing>
        <wp:anchor distT="0" distB="0" distL="114300" distR="114300" simplePos="0" relativeHeight="251665408" behindDoc="0" locked="0" layoutInCell="1" allowOverlap="1">
          <wp:simplePos x="0" y="0"/>
          <wp:positionH relativeFrom="column">
            <wp:posOffset>-1336040</wp:posOffset>
          </wp:positionH>
          <wp:positionV relativeFrom="paragraph">
            <wp:posOffset>-132715</wp:posOffset>
          </wp:positionV>
          <wp:extent cx="982345" cy="421005"/>
          <wp:effectExtent l="19050" t="0" r="8255" b="0"/>
          <wp:wrapThrough wrapText="bothSides">
            <wp:wrapPolygon edited="0">
              <wp:start x="3351" y="0"/>
              <wp:lineTo x="0" y="15638"/>
              <wp:lineTo x="-419" y="20525"/>
              <wp:lineTo x="20944" y="20525"/>
              <wp:lineTo x="21782" y="16615"/>
              <wp:lineTo x="21782" y="2932"/>
              <wp:lineTo x="20106" y="0"/>
              <wp:lineTo x="3351" y="0"/>
            </wp:wrapPolygon>
          </wp:wrapThrough>
          <wp:docPr id="1" name="0 Imagen" descr="Logo verde fondo transparente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erde fondo transparente1.wmf"/>
                  <pic:cNvPicPr/>
                </pic:nvPicPr>
                <pic:blipFill>
                  <a:blip r:embed="rId1"/>
                  <a:stretch>
                    <a:fillRect/>
                  </a:stretch>
                </pic:blipFill>
                <pic:spPr>
                  <a:xfrm>
                    <a:off x="0" y="0"/>
                    <a:ext cx="982345" cy="421005"/>
                  </a:xfrm>
                  <a:prstGeom prst="rect">
                    <a:avLst/>
                  </a:prstGeom>
                </pic:spPr>
              </pic:pic>
            </a:graphicData>
          </a:graphic>
        </wp:anchor>
      </w:drawing>
    </w:r>
  </w:p>
  <w:p w:rsidR="00F1060C" w:rsidRDefault="00F1060C">
    <w:pPr>
      <w:pStyle w:val="Encabezado"/>
    </w:pPr>
  </w:p>
  <w:p w:rsidR="00F1060C" w:rsidRPr="00C1442F" w:rsidRDefault="00F1060C" w:rsidP="00ED558E">
    <w:pPr>
      <w:pStyle w:val="Encabezado"/>
      <w:tabs>
        <w:tab w:val="clear" w:pos="4252"/>
        <w:tab w:val="clear" w:pos="8504"/>
        <w:tab w:val="right" w:pos="7938"/>
      </w:tabs>
      <w:ind w:left="-2268"/>
      <w:rPr>
        <w:b/>
      </w:rPr>
    </w:pPr>
    <w:r>
      <w:rPr>
        <w:b/>
        <w:color w:val="007336"/>
        <w:sz w:val="24"/>
      </w:rPr>
      <w:t>Banking Consultancy</w:t>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60C" w:rsidRPr="007F6830" w:rsidRDefault="00F1060C" w:rsidP="00880272">
    <w:pPr>
      <w:pStyle w:val="Encabezado"/>
      <w:jc w:val="right"/>
      <w:rPr>
        <w:b/>
        <w:color w:val="FF0000"/>
        <w:lang w:val="es-ES"/>
      </w:rPr>
    </w:pPr>
    <w:r w:rsidRPr="00285336">
      <w:rPr>
        <w:b/>
        <w:noProof/>
        <w:color w:val="FF0000"/>
        <w:lang w:val="es-ES" w:eastAsia="es-ES" w:bidi="ar-SA"/>
      </w:rPr>
      <w:drawing>
        <wp:anchor distT="0" distB="0" distL="114300" distR="114300" simplePos="0" relativeHeight="251662336" behindDoc="0" locked="0" layoutInCell="1" allowOverlap="1">
          <wp:simplePos x="0" y="0"/>
          <wp:positionH relativeFrom="column">
            <wp:posOffset>-1334770</wp:posOffset>
          </wp:positionH>
          <wp:positionV relativeFrom="paragraph">
            <wp:posOffset>-142240</wp:posOffset>
          </wp:positionV>
          <wp:extent cx="979805" cy="424815"/>
          <wp:effectExtent l="19050" t="0" r="0" b="0"/>
          <wp:wrapThrough wrapText="bothSides">
            <wp:wrapPolygon edited="0">
              <wp:start x="3360" y="0"/>
              <wp:lineTo x="0" y="15498"/>
              <wp:lineTo x="-420" y="20341"/>
              <wp:lineTo x="20578" y="20341"/>
              <wp:lineTo x="21418" y="16466"/>
              <wp:lineTo x="21418" y="2906"/>
              <wp:lineTo x="19738" y="0"/>
              <wp:lineTo x="3360" y="0"/>
            </wp:wrapPolygon>
          </wp:wrapThrough>
          <wp:docPr id="9" name="0 Imagen" descr="Logo verde fondo transparente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erde fondo transparente1.wmf"/>
                  <pic:cNvPicPr/>
                </pic:nvPicPr>
                <pic:blipFill>
                  <a:blip r:embed="rId1"/>
                  <a:stretch>
                    <a:fillRect/>
                  </a:stretch>
                </pic:blipFill>
                <pic:spPr>
                  <a:xfrm>
                    <a:off x="0" y="0"/>
                    <a:ext cx="979805" cy="424815"/>
                  </a:xfrm>
                  <a:prstGeom prst="rect">
                    <a:avLst/>
                  </a:prstGeom>
                </pic:spPr>
              </pic:pic>
            </a:graphicData>
          </a:graphic>
        </wp:anchor>
      </w:drawing>
    </w:r>
  </w:p>
  <w:p w:rsidR="00F1060C" w:rsidRPr="007F6830" w:rsidRDefault="00F1060C">
    <w:pPr>
      <w:pStyle w:val="Encabezado"/>
      <w:rPr>
        <w:lang w:val="es-ES"/>
      </w:rPr>
    </w:pPr>
  </w:p>
  <w:p w:rsidR="00F1060C" w:rsidRPr="00CA6E98" w:rsidRDefault="00E8570D" w:rsidP="00CA6E98">
    <w:pPr>
      <w:pStyle w:val="Encabezado"/>
      <w:tabs>
        <w:tab w:val="clear" w:pos="4252"/>
        <w:tab w:val="clear" w:pos="8504"/>
        <w:tab w:val="right" w:pos="7938"/>
      </w:tabs>
      <w:ind w:left="-2268"/>
    </w:pPr>
    <w:r>
      <w:rPr>
        <w:b/>
        <w:color w:val="007336"/>
        <w:sz w:val="24"/>
      </w:rPr>
      <w:t>Spanish Banking Association</w:t>
    </w:r>
    <w:r w:rsidR="00F1060C">
      <w:t xml:space="preserve"> </w:t>
    </w:r>
    <w:r w:rsidR="00F1060C">
      <w:tab/>
    </w:r>
    <w:r>
      <w:t>28</w:t>
    </w:r>
    <w:r w:rsidR="00F1060C" w:rsidRPr="00E8570D">
      <w:rPr>
        <w:sz w:val="24"/>
        <w:vertAlign w:val="superscript"/>
      </w:rPr>
      <w:t>th</w:t>
    </w:r>
    <w:r>
      <w:rPr>
        <w:sz w:val="24"/>
      </w:rPr>
      <w:t xml:space="preserve"> </w:t>
    </w:r>
    <w:r w:rsidR="00F1060C">
      <w:rPr>
        <w:sz w:val="24"/>
      </w:rPr>
      <w:t>January 2015</w:t>
    </w:r>
  </w:p>
  <w:p w:rsidR="00F1060C" w:rsidRDefault="00F1060C" w:rsidP="00F97809">
    <w:pPr>
      <w:pStyle w:val="Encabezado"/>
      <w:tabs>
        <w:tab w:val="clear" w:pos="4252"/>
        <w:tab w:val="clear" w:pos="8504"/>
        <w:tab w:val="right" w:pos="7938"/>
      </w:tabs>
      <w:ind w:left="-2268"/>
    </w:pPr>
    <w:r>
      <w:tab/>
    </w:r>
  </w:p>
  <w:p w:rsidR="00F1060C" w:rsidRDefault="003200F3">
    <w:pPr>
      <w:pStyle w:val="Encabezado"/>
    </w:pPr>
    <w:r w:rsidRPr="003200F3">
      <w:rPr>
        <w:noProof/>
      </w:rPr>
      <w:pict>
        <v:group id="_x0000_s2049" style="position:absolute;margin-left:-86.95pt;margin-top:5.1pt;width:66.75pt;height:65.15pt;z-index:251663360" coordorigin="840,3783" coordsize="1335,1303">
          <v:rect id="_x0000_s2050" style="position:absolute;left:975;top:3873;width:870;height:930" fillcolor="#007336" strokecolor="#007336">
            <v:fill opacity="53740f"/>
          </v:rect>
          <v:rect id="_x0000_s2051" style="position:absolute;left:1260;top:4111;width:915;height:975" fillcolor="#007336" stroked="f" strokecolor="#007336">
            <v:fill opacity="26214f"/>
          </v:rect>
          <v:rect id="_x0000_s2052" style="position:absolute;left:840;top:3783;width:690;height:735" fillcolor="#007336" strokecolor="#007336"/>
          <w10:wrap type="squar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66E7"/>
    <w:multiLevelType w:val="multilevel"/>
    <w:tmpl w:val="FEBC01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1337375"/>
    <w:multiLevelType w:val="hybridMultilevel"/>
    <w:tmpl w:val="503EE6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FC7564B"/>
    <w:multiLevelType w:val="hybridMultilevel"/>
    <w:tmpl w:val="D43CA3D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794447"/>
    <w:multiLevelType w:val="hybridMultilevel"/>
    <w:tmpl w:val="3DAC48C8"/>
    <w:lvl w:ilvl="0" w:tplc="0C0A0017">
      <w:start w:val="1"/>
      <w:numFmt w:val="lowerLetter"/>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4">
    <w:nsid w:val="4CE35346"/>
    <w:multiLevelType w:val="hybridMultilevel"/>
    <w:tmpl w:val="0AA8283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E5C7421"/>
    <w:multiLevelType w:val="hybridMultilevel"/>
    <w:tmpl w:val="7A325A3A"/>
    <w:lvl w:ilvl="0" w:tplc="46580454">
      <w:numFmt w:val="bullet"/>
      <w:lvlText w:val="-"/>
      <w:lvlJc w:val="left"/>
      <w:pPr>
        <w:ind w:left="720" w:hanging="360"/>
      </w:pPr>
      <w:rPr>
        <w:rFonts w:ascii="Times" w:eastAsia="Times" w:hAnsi="Times" w:cs="Time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E7A62CE"/>
    <w:multiLevelType w:val="multilevel"/>
    <w:tmpl w:val="F68ACE9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nsid w:val="51E80B08"/>
    <w:multiLevelType w:val="hybridMultilevel"/>
    <w:tmpl w:val="2C145BB2"/>
    <w:lvl w:ilvl="0" w:tplc="5984812A">
      <w:start w:val="1"/>
      <w:numFmt w:val="bullet"/>
      <w:lvlText w:val=""/>
      <w:lvlJc w:val="left"/>
      <w:pPr>
        <w:ind w:left="360" w:hanging="360"/>
      </w:pPr>
      <w:rPr>
        <w:rFonts w:ascii="Symbol" w:hAnsi="Symbol" w:hint="default"/>
        <w:sz w:val="22"/>
        <w:lang w:val="es-ES_tradnl"/>
      </w:rPr>
    </w:lvl>
    <w:lvl w:ilvl="1" w:tplc="45368860">
      <w:start w:val="1"/>
      <w:numFmt w:val="bullet"/>
      <w:lvlText w:val="o"/>
      <w:lvlJc w:val="left"/>
      <w:pPr>
        <w:ind w:left="3430" w:hanging="360"/>
      </w:pPr>
      <w:rPr>
        <w:rFonts w:ascii="Courier New" w:hAnsi="Courier New" w:cs="Courier New" w:hint="default"/>
        <w:b w:val="0"/>
        <w:color w:val="auto"/>
      </w:rPr>
    </w:lvl>
    <w:lvl w:ilvl="2" w:tplc="2F423BC8">
      <w:numFmt w:val="bullet"/>
      <w:lvlText w:val="-"/>
      <w:lvlJc w:val="left"/>
      <w:pPr>
        <w:ind w:left="4150" w:hanging="360"/>
      </w:pPr>
      <w:rPr>
        <w:rFonts w:ascii="Arial Narrow" w:eastAsia="Times New Roman" w:hAnsi="Arial Narrow" w:cs="Arial" w:hint="default"/>
      </w:rPr>
    </w:lvl>
    <w:lvl w:ilvl="3" w:tplc="0C0A0001" w:tentative="1">
      <w:start w:val="1"/>
      <w:numFmt w:val="bullet"/>
      <w:lvlText w:val=""/>
      <w:lvlJc w:val="left"/>
      <w:pPr>
        <w:ind w:left="4870" w:hanging="360"/>
      </w:pPr>
      <w:rPr>
        <w:rFonts w:ascii="Symbol" w:hAnsi="Symbol" w:hint="default"/>
      </w:rPr>
    </w:lvl>
    <w:lvl w:ilvl="4" w:tplc="0C0A0003" w:tentative="1">
      <w:start w:val="1"/>
      <w:numFmt w:val="bullet"/>
      <w:lvlText w:val="o"/>
      <w:lvlJc w:val="left"/>
      <w:pPr>
        <w:ind w:left="5590" w:hanging="360"/>
      </w:pPr>
      <w:rPr>
        <w:rFonts w:ascii="Courier New" w:hAnsi="Courier New" w:cs="Courier New" w:hint="default"/>
      </w:rPr>
    </w:lvl>
    <w:lvl w:ilvl="5" w:tplc="0C0A0005" w:tentative="1">
      <w:start w:val="1"/>
      <w:numFmt w:val="bullet"/>
      <w:lvlText w:val=""/>
      <w:lvlJc w:val="left"/>
      <w:pPr>
        <w:ind w:left="6310" w:hanging="360"/>
      </w:pPr>
      <w:rPr>
        <w:rFonts w:ascii="Wingdings" w:hAnsi="Wingdings" w:hint="default"/>
      </w:rPr>
    </w:lvl>
    <w:lvl w:ilvl="6" w:tplc="0C0A0001" w:tentative="1">
      <w:start w:val="1"/>
      <w:numFmt w:val="bullet"/>
      <w:lvlText w:val=""/>
      <w:lvlJc w:val="left"/>
      <w:pPr>
        <w:ind w:left="7030" w:hanging="360"/>
      </w:pPr>
      <w:rPr>
        <w:rFonts w:ascii="Symbol" w:hAnsi="Symbol" w:hint="default"/>
      </w:rPr>
    </w:lvl>
    <w:lvl w:ilvl="7" w:tplc="0C0A0003" w:tentative="1">
      <w:start w:val="1"/>
      <w:numFmt w:val="bullet"/>
      <w:lvlText w:val="o"/>
      <w:lvlJc w:val="left"/>
      <w:pPr>
        <w:ind w:left="7750" w:hanging="360"/>
      </w:pPr>
      <w:rPr>
        <w:rFonts w:ascii="Courier New" w:hAnsi="Courier New" w:cs="Courier New" w:hint="default"/>
      </w:rPr>
    </w:lvl>
    <w:lvl w:ilvl="8" w:tplc="0C0A0005" w:tentative="1">
      <w:start w:val="1"/>
      <w:numFmt w:val="bullet"/>
      <w:lvlText w:val=""/>
      <w:lvlJc w:val="left"/>
      <w:pPr>
        <w:ind w:left="8470" w:hanging="360"/>
      </w:pPr>
      <w:rPr>
        <w:rFonts w:ascii="Wingdings" w:hAnsi="Wingdings" w:hint="default"/>
      </w:rPr>
    </w:lvl>
  </w:abstractNum>
  <w:abstractNum w:abstractNumId="8">
    <w:nsid w:val="52985510"/>
    <w:multiLevelType w:val="hybridMultilevel"/>
    <w:tmpl w:val="0444E844"/>
    <w:lvl w:ilvl="0" w:tplc="2F762DF4">
      <w:start w:val="1"/>
      <w:numFmt w:val="bullet"/>
      <w:lvlText w:val=""/>
      <w:lvlJc w:val="left"/>
      <w:pPr>
        <w:ind w:left="720" w:hanging="360"/>
      </w:pPr>
      <w:rPr>
        <w:rFonts w:ascii="Symbol" w:hAnsi="Symbol" w:hint="default"/>
        <w:sz w:val="22"/>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32A3EC7"/>
    <w:multiLevelType w:val="hybridMultilevel"/>
    <w:tmpl w:val="2F623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5E9219B"/>
    <w:multiLevelType w:val="hybridMultilevel"/>
    <w:tmpl w:val="261C5E9C"/>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67B6329"/>
    <w:multiLevelType w:val="hybridMultilevel"/>
    <w:tmpl w:val="6722E55C"/>
    <w:lvl w:ilvl="0" w:tplc="0C0A0003">
      <w:start w:val="1"/>
      <w:numFmt w:val="bullet"/>
      <w:lvlText w:val="o"/>
      <w:lvlJc w:val="left"/>
      <w:pPr>
        <w:ind w:left="360" w:hanging="360"/>
      </w:pPr>
      <w:rPr>
        <w:rFonts w:ascii="Courier New" w:hAnsi="Courier New" w:cs="Courier New" w:hint="default"/>
      </w:rPr>
    </w:lvl>
    <w:lvl w:ilvl="1" w:tplc="21369C5A">
      <w:start w:val="1"/>
      <w:numFmt w:val="bullet"/>
      <w:lvlText w:val="o"/>
      <w:lvlJc w:val="left"/>
      <w:pPr>
        <w:ind w:left="3207" w:hanging="360"/>
      </w:pPr>
      <w:rPr>
        <w:rFonts w:ascii="Courier New" w:hAnsi="Courier New" w:cs="Courier New" w:hint="default"/>
        <w:b w:val="0"/>
        <w:color w:val="auto"/>
        <w:lang w:val="es-ES"/>
      </w:rPr>
    </w:lvl>
    <w:lvl w:ilvl="2" w:tplc="0C0A0005">
      <w:start w:val="1"/>
      <w:numFmt w:val="bullet"/>
      <w:lvlText w:val=""/>
      <w:lvlJc w:val="left"/>
      <w:pPr>
        <w:ind w:left="3927" w:hanging="360"/>
      </w:pPr>
      <w:rPr>
        <w:rFonts w:ascii="Wingdings" w:hAnsi="Wingdings" w:hint="default"/>
      </w:rPr>
    </w:lvl>
    <w:lvl w:ilvl="3" w:tplc="BA365660">
      <w:numFmt w:val="bullet"/>
      <w:lvlText w:val="-"/>
      <w:lvlJc w:val="left"/>
      <w:pPr>
        <w:ind w:left="4647" w:hanging="360"/>
      </w:pPr>
      <w:rPr>
        <w:rFonts w:ascii="Arial Narrow" w:eastAsia="Times New Roman" w:hAnsi="Arial Narrow" w:cs="Times New Roman" w:hint="default"/>
      </w:rPr>
    </w:lvl>
    <w:lvl w:ilvl="4" w:tplc="0C0A0003" w:tentative="1">
      <w:start w:val="1"/>
      <w:numFmt w:val="bullet"/>
      <w:lvlText w:val="o"/>
      <w:lvlJc w:val="left"/>
      <w:pPr>
        <w:ind w:left="5367" w:hanging="360"/>
      </w:pPr>
      <w:rPr>
        <w:rFonts w:ascii="Courier New" w:hAnsi="Courier New" w:cs="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cs="Courier New" w:hint="default"/>
      </w:rPr>
    </w:lvl>
    <w:lvl w:ilvl="8" w:tplc="0C0A0005" w:tentative="1">
      <w:start w:val="1"/>
      <w:numFmt w:val="bullet"/>
      <w:lvlText w:val=""/>
      <w:lvlJc w:val="left"/>
      <w:pPr>
        <w:ind w:left="8247" w:hanging="360"/>
      </w:pPr>
      <w:rPr>
        <w:rFonts w:ascii="Wingdings" w:hAnsi="Wingdings" w:hint="default"/>
      </w:rPr>
    </w:lvl>
  </w:abstractNum>
  <w:abstractNum w:abstractNumId="12">
    <w:nsid w:val="573606BD"/>
    <w:multiLevelType w:val="hybridMultilevel"/>
    <w:tmpl w:val="641E51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AFB2625"/>
    <w:multiLevelType w:val="hybridMultilevel"/>
    <w:tmpl w:val="0D4C75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D4B4A53"/>
    <w:multiLevelType w:val="hybridMultilevel"/>
    <w:tmpl w:val="D7B01B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D5C5F58"/>
    <w:multiLevelType w:val="hybridMultilevel"/>
    <w:tmpl w:val="00E482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4792F43"/>
    <w:multiLevelType w:val="hybridMultilevel"/>
    <w:tmpl w:val="90C0A6C0"/>
    <w:lvl w:ilvl="0" w:tplc="0C0A0001">
      <w:start w:val="1"/>
      <w:numFmt w:val="bullet"/>
      <w:lvlText w:val=""/>
      <w:lvlJc w:val="left"/>
      <w:pPr>
        <w:ind w:left="1150" w:hanging="360"/>
      </w:pPr>
      <w:rPr>
        <w:rFonts w:ascii="Symbol" w:hAnsi="Symbol" w:hint="default"/>
      </w:rPr>
    </w:lvl>
    <w:lvl w:ilvl="1" w:tplc="0C0A0003" w:tentative="1">
      <w:start w:val="1"/>
      <w:numFmt w:val="bullet"/>
      <w:lvlText w:val="o"/>
      <w:lvlJc w:val="left"/>
      <w:pPr>
        <w:ind w:left="1870" w:hanging="360"/>
      </w:pPr>
      <w:rPr>
        <w:rFonts w:ascii="Courier New" w:hAnsi="Courier New" w:cs="Courier New" w:hint="default"/>
      </w:rPr>
    </w:lvl>
    <w:lvl w:ilvl="2" w:tplc="0C0A0005" w:tentative="1">
      <w:start w:val="1"/>
      <w:numFmt w:val="bullet"/>
      <w:lvlText w:val=""/>
      <w:lvlJc w:val="left"/>
      <w:pPr>
        <w:ind w:left="2590" w:hanging="360"/>
      </w:pPr>
      <w:rPr>
        <w:rFonts w:ascii="Wingdings" w:hAnsi="Wingdings" w:hint="default"/>
      </w:rPr>
    </w:lvl>
    <w:lvl w:ilvl="3" w:tplc="0C0A0001" w:tentative="1">
      <w:start w:val="1"/>
      <w:numFmt w:val="bullet"/>
      <w:lvlText w:val=""/>
      <w:lvlJc w:val="left"/>
      <w:pPr>
        <w:ind w:left="3310" w:hanging="360"/>
      </w:pPr>
      <w:rPr>
        <w:rFonts w:ascii="Symbol" w:hAnsi="Symbol" w:hint="default"/>
      </w:rPr>
    </w:lvl>
    <w:lvl w:ilvl="4" w:tplc="0C0A0003" w:tentative="1">
      <w:start w:val="1"/>
      <w:numFmt w:val="bullet"/>
      <w:lvlText w:val="o"/>
      <w:lvlJc w:val="left"/>
      <w:pPr>
        <w:ind w:left="4030" w:hanging="360"/>
      </w:pPr>
      <w:rPr>
        <w:rFonts w:ascii="Courier New" w:hAnsi="Courier New" w:cs="Courier New" w:hint="default"/>
      </w:rPr>
    </w:lvl>
    <w:lvl w:ilvl="5" w:tplc="0C0A0005" w:tentative="1">
      <w:start w:val="1"/>
      <w:numFmt w:val="bullet"/>
      <w:lvlText w:val=""/>
      <w:lvlJc w:val="left"/>
      <w:pPr>
        <w:ind w:left="4750" w:hanging="360"/>
      </w:pPr>
      <w:rPr>
        <w:rFonts w:ascii="Wingdings" w:hAnsi="Wingdings" w:hint="default"/>
      </w:rPr>
    </w:lvl>
    <w:lvl w:ilvl="6" w:tplc="0C0A0001" w:tentative="1">
      <w:start w:val="1"/>
      <w:numFmt w:val="bullet"/>
      <w:lvlText w:val=""/>
      <w:lvlJc w:val="left"/>
      <w:pPr>
        <w:ind w:left="5470" w:hanging="360"/>
      </w:pPr>
      <w:rPr>
        <w:rFonts w:ascii="Symbol" w:hAnsi="Symbol" w:hint="default"/>
      </w:rPr>
    </w:lvl>
    <w:lvl w:ilvl="7" w:tplc="0C0A0003" w:tentative="1">
      <w:start w:val="1"/>
      <w:numFmt w:val="bullet"/>
      <w:lvlText w:val="o"/>
      <w:lvlJc w:val="left"/>
      <w:pPr>
        <w:ind w:left="6190" w:hanging="360"/>
      </w:pPr>
      <w:rPr>
        <w:rFonts w:ascii="Courier New" w:hAnsi="Courier New" w:cs="Courier New" w:hint="default"/>
      </w:rPr>
    </w:lvl>
    <w:lvl w:ilvl="8" w:tplc="0C0A0005" w:tentative="1">
      <w:start w:val="1"/>
      <w:numFmt w:val="bullet"/>
      <w:lvlText w:val=""/>
      <w:lvlJc w:val="left"/>
      <w:pPr>
        <w:ind w:left="6910" w:hanging="360"/>
      </w:pPr>
      <w:rPr>
        <w:rFonts w:ascii="Wingdings" w:hAnsi="Wingdings" w:hint="default"/>
      </w:rPr>
    </w:lvl>
  </w:abstractNum>
  <w:abstractNum w:abstractNumId="17">
    <w:nsid w:val="648344C1"/>
    <w:multiLevelType w:val="hybridMultilevel"/>
    <w:tmpl w:val="BA7009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AF16DED"/>
    <w:multiLevelType w:val="hybridMultilevel"/>
    <w:tmpl w:val="91E68D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EC3764D"/>
    <w:multiLevelType w:val="hybridMultilevel"/>
    <w:tmpl w:val="78CCCFEC"/>
    <w:lvl w:ilvl="0" w:tplc="54CC9B9E">
      <w:start w:val="1"/>
      <w:numFmt w:val="bullet"/>
      <w:lvlText w:val=""/>
      <w:lvlJc w:val="left"/>
      <w:pPr>
        <w:ind w:left="360" w:hanging="360"/>
      </w:pPr>
      <w:rPr>
        <w:rFonts w:ascii="Wingdings" w:hAnsi="Wingdings" w:hint="default"/>
        <w:color w:val="auto"/>
        <w:sz w:val="28"/>
        <w:szCs w:val="16"/>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5">
      <w:start w:val="1"/>
      <w:numFmt w:val="bullet"/>
      <w:lvlText w:val=""/>
      <w:lvlJc w:val="left"/>
      <w:pPr>
        <w:ind w:left="252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D1C5CB8"/>
    <w:multiLevelType w:val="hybridMultilevel"/>
    <w:tmpl w:val="7C4C12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6"/>
  </w:num>
  <w:num w:numId="4">
    <w:abstractNumId w:val="14"/>
  </w:num>
  <w:num w:numId="5">
    <w:abstractNumId w:val="18"/>
  </w:num>
  <w:num w:numId="6">
    <w:abstractNumId w:val="15"/>
  </w:num>
  <w:num w:numId="7">
    <w:abstractNumId w:val="16"/>
  </w:num>
  <w:num w:numId="8">
    <w:abstractNumId w:val="12"/>
  </w:num>
  <w:num w:numId="9">
    <w:abstractNumId w:val="20"/>
  </w:num>
  <w:num w:numId="10">
    <w:abstractNumId w:val="1"/>
  </w:num>
  <w:num w:numId="11">
    <w:abstractNumId w:val="3"/>
  </w:num>
  <w:num w:numId="12">
    <w:abstractNumId w:val="10"/>
  </w:num>
  <w:num w:numId="13">
    <w:abstractNumId w:val="17"/>
  </w:num>
  <w:num w:numId="14">
    <w:abstractNumId w:val="13"/>
  </w:num>
  <w:num w:numId="15">
    <w:abstractNumId w:val="9"/>
  </w:num>
  <w:num w:numId="16">
    <w:abstractNumId w:val="4"/>
  </w:num>
  <w:num w:numId="17">
    <w:abstractNumId w:val="2"/>
  </w:num>
  <w:num w:numId="18">
    <w:abstractNumId w:val="19"/>
  </w:num>
  <w:num w:numId="19">
    <w:abstractNumId w:val="8"/>
  </w:num>
  <w:num w:numId="20">
    <w:abstractNumId w:val="5"/>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hyphenationZone w:val="425"/>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8131F5"/>
    <w:rsid w:val="0000654E"/>
    <w:rsid w:val="00012EE0"/>
    <w:rsid w:val="00015981"/>
    <w:rsid w:val="00017B82"/>
    <w:rsid w:val="00021EB8"/>
    <w:rsid w:val="00022556"/>
    <w:rsid w:val="0002255F"/>
    <w:rsid w:val="0002273D"/>
    <w:rsid w:val="00022A43"/>
    <w:rsid w:val="0002751F"/>
    <w:rsid w:val="000276B0"/>
    <w:rsid w:val="0003215D"/>
    <w:rsid w:val="000403F4"/>
    <w:rsid w:val="000408C0"/>
    <w:rsid w:val="000433CF"/>
    <w:rsid w:val="000459C0"/>
    <w:rsid w:val="00047A6A"/>
    <w:rsid w:val="00051C21"/>
    <w:rsid w:val="00052E5E"/>
    <w:rsid w:val="00060335"/>
    <w:rsid w:val="000652B1"/>
    <w:rsid w:val="00065E58"/>
    <w:rsid w:val="00073260"/>
    <w:rsid w:val="00073A1C"/>
    <w:rsid w:val="0007583D"/>
    <w:rsid w:val="00076436"/>
    <w:rsid w:val="00081911"/>
    <w:rsid w:val="000819A0"/>
    <w:rsid w:val="000870C6"/>
    <w:rsid w:val="00095B37"/>
    <w:rsid w:val="00097722"/>
    <w:rsid w:val="000A2FD7"/>
    <w:rsid w:val="000A4517"/>
    <w:rsid w:val="000B0C97"/>
    <w:rsid w:val="000B1C4C"/>
    <w:rsid w:val="000B1D2F"/>
    <w:rsid w:val="000B585A"/>
    <w:rsid w:val="000C1760"/>
    <w:rsid w:val="000C3E43"/>
    <w:rsid w:val="000C45C1"/>
    <w:rsid w:val="000C4769"/>
    <w:rsid w:val="000C4BF0"/>
    <w:rsid w:val="000D116F"/>
    <w:rsid w:val="000D21A2"/>
    <w:rsid w:val="000D3FC7"/>
    <w:rsid w:val="000D41FC"/>
    <w:rsid w:val="000D68F3"/>
    <w:rsid w:val="000F12A1"/>
    <w:rsid w:val="000F3184"/>
    <w:rsid w:val="000F54B4"/>
    <w:rsid w:val="000F6C65"/>
    <w:rsid w:val="0011023B"/>
    <w:rsid w:val="00111BEE"/>
    <w:rsid w:val="00114103"/>
    <w:rsid w:val="001160B1"/>
    <w:rsid w:val="001374F8"/>
    <w:rsid w:val="001377BF"/>
    <w:rsid w:val="00142776"/>
    <w:rsid w:val="00142F46"/>
    <w:rsid w:val="001435CA"/>
    <w:rsid w:val="00147544"/>
    <w:rsid w:val="00151541"/>
    <w:rsid w:val="001519DE"/>
    <w:rsid w:val="00153168"/>
    <w:rsid w:val="00165C2C"/>
    <w:rsid w:val="00167E71"/>
    <w:rsid w:val="00170DB3"/>
    <w:rsid w:val="00176290"/>
    <w:rsid w:val="001764BF"/>
    <w:rsid w:val="00182514"/>
    <w:rsid w:val="0018267A"/>
    <w:rsid w:val="001835DA"/>
    <w:rsid w:val="0018500F"/>
    <w:rsid w:val="00185887"/>
    <w:rsid w:val="00187249"/>
    <w:rsid w:val="00195740"/>
    <w:rsid w:val="001957FD"/>
    <w:rsid w:val="001964EB"/>
    <w:rsid w:val="001A6C57"/>
    <w:rsid w:val="001B2D02"/>
    <w:rsid w:val="001B371C"/>
    <w:rsid w:val="001B4EE9"/>
    <w:rsid w:val="001C1D00"/>
    <w:rsid w:val="001C338E"/>
    <w:rsid w:val="001C46E1"/>
    <w:rsid w:val="001C7966"/>
    <w:rsid w:val="001C7B6F"/>
    <w:rsid w:val="001D50D6"/>
    <w:rsid w:val="001E15A0"/>
    <w:rsid w:val="001E388E"/>
    <w:rsid w:val="001E44E6"/>
    <w:rsid w:val="00202239"/>
    <w:rsid w:val="0020269E"/>
    <w:rsid w:val="0020387C"/>
    <w:rsid w:val="00206188"/>
    <w:rsid w:val="002111C4"/>
    <w:rsid w:val="002117AD"/>
    <w:rsid w:val="00215B68"/>
    <w:rsid w:val="002171D2"/>
    <w:rsid w:val="0023106F"/>
    <w:rsid w:val="002310AA"/>
    <w:rsid w:val="00233658"/>
    <w:rsid w:val="002344B0"/>
    <w:rsid w:val="002345A0"/>
    <w:rsid w:val="002432BE"/>
    <w:rsid w:val="002446FD"/>
    <w:rsid w:val="00245236"/>
    <w:rsid w:val="00246EF5"/>
    <w:rsid w:val="002473F4"/>
    <w:rsid w:val="00252B2A"/>
    <w:rsid w:val="002539FD"/>
    <w:rsid w:val="00255F3D"/>
    <w:rsid w:val="002571DC"/>
    <w:rsid w:val="002600EB"/>
    <w:rsid w:val="00260980"/>
    <w:rsid w:val="00261E49"/>
    <w:rsid w:val="002629EF"/>
    <w:rsid w:val="00265EB4"/>
    <w:rsid w:val="00267363"/>
    <w:rsid w:val="00273F0D"/>
    <w:rsid w:val="00277B13"/>
    <w:rsid w:val="00280CAE"/>
    <w:rsid w:val="00280FAF"/>
    <w:rsid w:val="00281EA3"/>
    <w:rsid w:val="00282725"/>
    <w:rsid w:val="00283A14"/>
    <w:rsid w:val="00285336"/>
    <w:rsid w:val="00285B57"/>
    <w:rsid w:val="00285C13"/>
    <w:rsid w:val="002932BC"/>
    <w:rsid w:val="002A33D8"/>
    <w:rsid w:val="002A4E48"/>
    <w:rsid w:val="002B0953"/>
    <w:rsid w:val="002B57BB"/>
    <w:rsid w:val="002D3576"/>
    <w:rsid w:val="002E14F9"/>
    <w:rsid w:val="002E2CFC"/>
    <w:rsid w:val="002E447A"/>
    <w:rsid w:val="002F03D9"/>
    <w:rsid w:val="00300CDD"/>
    <w:rsid w:val="00303282"/>
    <w:rsid w:val="00304D70"/>
    <w:rsid w:val="00304E27"/>
    <w:rsid w:val="003200F3"/>
    <w:rsid w:val="00331B8B"/>
    <w:rsid w:val="003321FB"/>
    <w:rsid w:val="0033324A"/>
    <w:rsid w:val="0033667C"/>
    <w:rsid w:val="00336DA4"/>
    <w:rsid w:val="003516FA"/>
    <w:rsid w:val="00353CB0"/>
    <w:rsid w:val="003566E6"/>
    <w:rsid w:val="00362B94"/>
    <w:rsid w:val="003663C8"/>
    <w:rsid w:val="0037281E"/>
    <w:rsid w:val="00381943"/>
    <w:rsid w:val="003823A1"/>
    <w:rsid w:val="00385542"/>
    <w:rsid w:val="00390AA2"/>
    <w:rsid w:val="0039109F"/>
    <w:rsid w:val="003974BA"/>
    <w:rsid w:val="003A363B"/>
    <w:rsid w:val="003A5886"/>
    <w:rsid w:val="003B2F42"/>
    <w:rsid w:val="003B351F"/>
    <w:rsid w:val="003B7149"/>
    <w:rsid w:val="003C46AD"/>
    <w:rsid w:val="003C659F"/>
    <w:rsid w:val="003D157F"/>
    <w:rsid w:val="003E4954"/>
    <w:rsid w:val="003E7985"/>
    <w:rsid w:val="003E7BC4"/>
    <w:rsid w:val="003F1F36"/>
    <w:rsid w:val="003F2BB5"/>
    <w:rsid w:val="003F69DB"/>
    <w:rsid w:val="004068A5"/>
    <w:rsid w:val="004124EC"/>
    <w:rsid w:val="004140C6"/>
    <w:rsid w:val="00416C7C"/>
    <w:rsid w:val="00422226"/>
    <w:rsid w:val="00426CFD"/>
    <w:rsid w:val="0042760D"/>
    <w:rsid w:val="004515EF"/>
    <w:rsid w:val="00464969"/>
    <w:rsid w:val="0047263E"/>
    <w:rsid w:val="00474DE2"/>
    <w:rsid w:val="004777F9"/>
    <w:rsid w:val="0048149E"/>
    <w:rsid w:val="00482375"/>
    <w:rsid w:val="0049113A"/>
    <w:rsid w:val="0049279E"/>
    <w:rsid w:val="00493979"/>
    <w:rsid w:val="00493B6D"/>
    <w:rsid w:val="004965AF"/>
    <w:rsid w:val="004A1692"/>
    <w:rsid w:val="004A3138"/>
    <w:rsid w:val="004A5210"/>
    <w:rsid w:val="004C207A"/>
    <w:rsid w:val="004C56CB"/>
    <w:rsid w:val="004C5AE4"/>
    <w:rsid w:val="004C5CEE"/>
    <w:rsid w:val="004C6A8F"/>
    <w:rsid w:val="004C789E"/>
    <w:rsid w:val="004E4844"/>
    <w:rsid w:val="004E7000"/>
    <w:rsid w:val="004E7486"/>
    <w:rsid w:val="004F3597"/>
    <w:rsid w:val="004F5409"/>
    <w:rsid w:val="0050458B"/>
    <w:rsid w:val="00512E08"/>
    <w:rsid w:val="00513812"/>
    <w:rsid w:val="0052226F"/>
    <w:rsid w:val="00531515"/>
    <w:rsid w:val="00532FAB"/>
    <w:rsid w:val="00533F59"/>
    <w:rsid w:val="00542A64"/>
    <w:rsid w:val="005445AA"/>
    <w:rsid w:val="00554AC7"/>
    <w:rsid w:val="00563107"/>
    <w:rsid w:val="005702D7"/>
    <w:rsid w:val="00574B06"/>
    <w:rsid w:val="0057563E"/>
    <w:rsid w:val="00575681"/>
    <w:rsid w:val="00577F4F"/>
    <w:rsid w:val="0058231A"/>
    <w:rsid w:val="005825D2"/>
    <w:rsid w:val="00584EE4"/>
    <w:rsid w:val="00594767"/>
    <w:rsid w:val="00596C18"/>
    <w:rsid w:val="005972C6"/>
    <w:rsid w:val="005A1EEF"/>
    <w:rsid w:val="005A2B9F"/>
    <w:rsid w:val="005A3405"/>
    <w:rsid w:val="005A4E9A"/>
    <w:rsid w:val="005A54D7"/>
    <w:rsid w:val="005A6412"/>
    <w:rsid w:val="005B1FAA"/>
    <w:rsid w:val="005B292A"/>
    <w:rsid w:val="005B2B08"/>
    <w:rsid w:val="005B7AF3"/>
    <w:rsid w:val="005C04E4"/>
    <w:rsid w:val="005C5D07"/>
    <w:rsid w:val="005C67A3"/>
    <w:rsid w:val="005D2B65"/>
    <w:rsid w:val="005D35D6"/>
    <w:rsid w:val="005E0374"/>
    <w:rsid w:val="005E2F85"/>
    <w:rsid w:val="005F3783"/>
    <w:rsid w:val="005F38E1"/>
    <w:rsid w:val="00602444"/>
    <w:rsid w:val="00602975"/>
    <w:rsid w:val="00602E4D"/>
    <w:rsid w:val="0060310C"/>
    <w:rsid w:val="0061369E"/>
    <w:rsid w:val="00614447"/>
    <w:rsid w:val="00626AFF"/>
    <w:rsid w:val="00627B31"/>
    <w:rsid w:val="00630D0E"/>
    <w:rsid w:val="00632CA8"/>
    <w:rsid w:val="00634773"/>
    <w:rsid w:val="006440DC"/>
    <w:rsid w:val="006458FA"/>
    <w:rsid w:val="00651B41"/>
    <w:rsid w:val="00653184"/>
    <w:rsid w:val="00663767"/>
    <w:rsid w:val="00663F63"/>
    <w:rsid w:val="00664E48"/>
    <w:rsid w:val="00671C01"/>
    <w:rsid w:val="00682622"/>
    <w:rsid w:val="00682E76"/>
    <w:rsid w:val="00684BC2"/>
    <w:rsid w:val="00691FC7"/>
    <w:rsid w:val="00692F85"/>
    <w:rsid w:val="00694512"/>
    <w:rsid w:val="00696D8B"/>
    <w:rsid w:val="00697418"/>
    <w:rsid w:val="006A1F70"/>
    <w:rsid w:val="006A28FA"/>
    <w:rsid w:val="006A2DEC"/>
    <w:rsid w:val="006A3093"/>
    <w:rsid w:val="006A4DE4"/>
    <w:rsid w:val="006A54AE"/>
    <w:rsid w:val="006B0531"/>
    <w:rsid w:val="006B11B8"/>
    <w:rsid w:val="006B3207"/>
    <w:rsid w:val="006B470A"/>
    <w:rsid w:val="006B5BD4"/>
    <w:rsid w:val="006B7C4D"/>
    <w:rsid w:val="006C03E9"/>
    <w:rsid w:val="006C2CC7"/>
    <w:rsid w:val="006C3043"/>
    <w:rsid w:val="006C4A08"/>
    <w:rsid w:val="006C68CD"/>
    <w:rsid w:val="006D3BDD"/>
    <w:rsid w:val="006D4677"/>
    <w:rsid w:val="006D60CF"/>
    <w:rsid w:val="006D686F"/>
    <w:rsid w:val="006D6E59"/>
    <w:rsid w:val="006D72A5"/>
    <w:rsid w:val="006E47EF"/>
    <w:rsid w:val="006F0E80"/>
    <w:rsid w:val="006F41DB"/>
    <w:rsid w:val="006F58FD"/>
    <w:rsid w:val="007033AD"/>
    <w:rsid w:val="0070758D"/>
    <w:rsid w:val="00713E8C"/>
    <w:rsid w:val="00715E2C"/>
    <w:rsid w:val="0071694F"/>
    <w:rsid w:val="00721433"/>
    <w:rsid w:val="00721521"/>
    <w:rsid w:val="00723162"/>
    <w:rsid w:val="007231B1"/>
    <w:rsid w:val="0072339D"/>
    <w:rsid w:val="007240D7"/>
    <w:rsid w:val="00725A01"/>
    <w:rsid w:val="007334B5"/>
    <w:rsid w:val="00735B69"/>
    <w:rsid w:val="00735C3E"/>
    <w:rsid w:val="007404D9"/>
    <w:rsid w:val="0074483D"/>
    <w:rsid w:val="0074546E"/>
    <w:rsid w:val="00753456"/>
    <w:rsid w:val="00757953"/>
    <w:rsid w:val="00764614"/>
    <w:rsid w:val="00766C16"/>
    <w:rsid w:val="00770ABF"/>
    <w:rsid w:val="00774A4B"/>
    <w:rsid w:val="00776C49"/>
    <w:rsid w:val="007813ED"/>
    <w:rsid w:val="00782DC9"/>
    <w:rsid w:val="00784E58"/>
    <w:rsid w:val="00794A58"/>
    <w:rsid w:val="007A1895"/>
    <w:rsid w:val="007A3FB5"/>
    <w:rsid w:val="007B082A"/>
    <w:rsid w:val="007D2E30"/>
    <w:rsid w:val="007D4F60"/>
    <w:rsid w:val="007E033B"/>
    <w:rsid w:val="007E5C4C"/>
    <w:rsid w:val="007E5E21"/>
    <w:rsid w:val="007E6CF7"/>
    <w:rsid w:val="007F2CEF"/>
    <w:rsid w:val="007F2ED0"/>
    <w:rsid w:val="007F4647"/>
    <w:rsid w:val="007F6830"/>
    <w:rsid w:val="008001A5"/>
    <w:rsid w:val="00801940"/>
    <w:rsid w:val="008021CF"/>
    <w:rsid w:val="00802C4F"/>
    <w:rsid w:val="008063DD"/>
    <w:rsid w:val="00810C9F"/>
    <w:rsid w:val="008131F3"/>
    <w:rsid w:val="008131F5"/>
    <w:rsid w:val="00823ACF"/>
    <w:rsid w:val="0082595F"/>
    <w:rsid w:val="008310A9"/>
    <w:rsid w:val="00836086"/>
    <w:rsid w:val="008402A1"/>
    <w:rsid w:val="008408B0"/>
    <w:rsid w:val="00842AEF"/>
    <w:rsid w:val="00843E8F"/>
    <w:rsid w:val="008446A6"/>
    <w:rsid w:val="00845F04"/>
    <w:rsid w:val="00847E5E"/>
    <w:rsid w:val="0085148B"/>
    <w:rsid w:val="0085190E"/>
    <w:rsid w:val="00851ED1"/>
    <w:rsid w:val="008543AA"/>
    <w:rsid w:val="008552B7"/>
    <w:rsid w:val="00867A52"/>
    <w:rsid w:val="00871274"/>
    <w:rsid w:val="00873BAB"/>
    <w:rsid w:val="00874AA9"/>
    <w:rsid w:val="00876D14"/>
    <w:rsid w:val="00880272"/>
    <w:rsid w:val="008805ED"/>
    <w:rsid w:val="00882D99"/>
    <w:rsid w:val="008926DB"/>
    <w:rsid w:val="00892BDD"/>
    <w:rsid w:val="00893143"/>
    <w:rsid w:val="00893EF3"/>
    <w:rsid w:val="0089482C"/>
    <w:rsid w:val="00895CCC"/>
    <w:rsid w:val="008A5A7D"/>
    <w:rsid w:val="008A70D3"/>
    <w:rsid w:val="008B13E6"/>
    <w:rsid w:val="008B5465"/>
    <w:rsid w:val="008B6B12"/>
    <w:rsid w:val="008C22CB"/>
    <w:rsid w:val="008C3805"/>
    <w:rsid w:val="008C4738"/>
    <w:rsid w:val="008C59F6"/>
    <w:rsid w:val="008C7937"/>
    <w:rsid w:val="008D61FE"/>
    <w:rsid w:val="008D7734"/>
    <w:rsid w:val="008E2019"/>
    <w:rsid w:val="008E2FBD"/>
    <w:rsid w:val="008E3375"/>
    <w:rsid w:val="008E758F"/>
    <w:rsid w:val="008F3211"/>
    <w:rsid w:val="008F45ED"/>
    <w:rsid w:val="00905AAE"/>
    <w:rsid w:val="00914A77"/>
    <w:rsid w:val="00921F36"/>
    <w:rsid w:val="00925217"/>
    <w:rsid w:val="009277C6"/>
    <w:rsid w:val="0093210D"/>
    <w:rsid w:val="009351FC"/>
    <w:rsid w:val="00935706"/>
    <w:rsid w:val="009515E5"/>
    <w:rsid w:val="00951FAC"/>
    <w:rsid w:val="00957FDC"/>
    <w:rsid w:val="0096037F"/>
    <w:rsid w:val="00962A60"/>
    <w:rsid w:val="00963390"/>
    <w:rsid w:val="009743FD"/>
    <w:rsid w:val="00975C1A"/>
    <w:rsid w:val="00975DC2"/>
    <w:rsid w:val="00977790"/>
    <w:rsid w:val="009821F8"/>
    <w:rsid w:val="00983F3B"/>
    <w:rsid w:val="00986486"/>
    <w:rsid w:val="00994FC8"/>
    <w:rsid w:val="0099606B"/>
    <w:rsid w:val="009A2442"/>
    <w:rsid w:val="009A3B6E"/>
    <w:rsid w:val="009A6289"/>
    <w:rsid w:val="009B2253"/>
    <w:rsid w:val="009B6449"/>
    <w:rsid w:val="009B7A1E"/>
    <w:rsid w:val="009C3C9E"/>
    <w:rsid w:val="009C5A8D"/>
    <w:rsid w:val="009C7440"/>
    <w:rsid w:val="009D1CB5"/>
    <w:rsid w:val="009D7580"/>
    <w:rsid w:val="009E20B7"/>
    <w:rsid w:val="009E4661"/>
    <w:rsid w:val="009E73FC"/>
    <w:rsid w:val="009E75E9"/>
    <w:rsid w:val="009F0815"/>
    <w:rsid w:val="009F1D4C"/>
    <w:rsid w:val="00A02F25"/>
    <w:rsid w:val="00A0798D"/>
    <w:rsid w:val="00A11503"/>
    <w:rsid w:val="00A13B08"/>
    <w:rsid w:val="00A15726"/>
    <w:rsid w:val="00A2074B"/>
    <w:rsid w:val="00A212CB"/>
    <w:rsid w:val="00A33ABB"/>
    <w:rsid w:val="00A3468D"/>
    <w:rsid w:val="00A352FE"/>
    <w:rsid w:val="00A3556A"/>
    <w:rsid w:val="00A441B6"/>
    <w:rsid w:val="00A45DD6"/>
    <w:rsid w:val="00A52144"/>
    <w:rsid w:val="00A5374D"/>
    <w:rsid w:val="00A5599B"/>
    <w:rsid w:val="00A636D4"/>
    <w:rsid w:val="00A64490"/>
    <w:rsid w:val="00A65480"/>
    <w:rsid w:val="00A656F0"/>
    <w:rsid w:val="00A67473"/>
    <w:rsid w:val="00A76CF1"/>
    <w:rsid w:val="00A8096D"/>
    <w:rsid w:val="00A83EFF"/>
    <w:rsid w:val="00A8440D"/>
    <w:rsid w:val="00A85C75"/>
    <w:rsid w:val="00A945D5"/>
    <w:rsid w:val="00A95474"/>
    <w:rsid w:val="00AA3224"/>
    <w:rsid w:val="00AA7BCD"/>
    <w:rsid w:val="00AB146F"/>
    <w:rsid w:val="00AB27B3"/>
    <w:rsid w:val="00AB3457"/>
    <w:rsid w:val="00AB500B"/>
    <w:rsid w:val="00AB6FFC"/>
    <w:rsid w:val="00AC0A3C"/>
    <w:rsid w:val="00AC4982"/>
    <w:rsid w:val="00AC6829"/>
    <w:rsid w:val="00AD1C70"/>
    <w:rsid w:val="00AD2E73"/>
    <w:rsid w:val="00AD4780"/>
    <w:rsid w:val="00AD48CC"/>
    <w:rsid w:val="00AE0928"/>
    <w:rsid w:val="00AE26AA"/>
    <w:rsid w:val="00AE34AE"/>
    <w:rsid w:val="00AE3E75"/>
    <w:rsid w:val="00AE7FB5"/>
    <w:rsid w:val="00AF2C88"/>
    <w:rsid w:val="00AF75F3"/>
    <w:rsid w:val="00B00DBA"/>
    <w:rsid w:val="00B032CF"/>
    <w:rsid w:val="00B05F29"/>
    <w:rsid w:val="00B110B8"/>
    <w:rsid w:val="00B11B5E"/>
    <w:rsid w:val="00B146AD"/>
    <w:rsid w:val="00B1563A"/>
    <w:rsid w:val="00B168D2"/>
    <w:rsid w:val="00B1728E"/>
    <w:rsid w:val="00B22629"/>
    <w:rsid w:val="00B24F46"/>
    <w:rsid w:val="00B25D3B"/>
    <w:rsid w:val="00B31206"/>
    <w:rsid w:val="00B33F1B"/>
    <w:rsid w:val="00B44D51"/>
    <w:rsid w:val="00B4643A"/>
    <w:rsid w:val="00B50470"/>
    <w:rsid w:val="00B56C08"/>
    <w:rsid w:val="00B624EE"/>
    <w:rsid w:val="00B70551"/>
    <w:rsid w:val="00B70E29"/>
    <w:rsid w:val="00B73F3F"/>
    <w:rsid w:val="00B75289"/>
    <w:rsid w:val="00B76E79"/>
    <w:rsid w:val="00B83394"/>
    <w:rsid w:val="00B84083"/>
    <w:rsid w:val="00B867A1"/>
    <w:rsid w:val="00B92AB9"/>
    <w:rsid w:val="00B972B6"/>
    <w:rsid w:val="00B9796A"/>
    <w:rsid w:val="00BA4971"/>
    <w:rsid w:val="00BA5C04"/>
    <w:rsid w:val="00BB3450"/>
    <w:rsid w:val="00BB79E9"/>
    <w:rsid w:val="00BC578E"/>
    <w:rsid w:val="00BC7F0D"/>
    <w:rsid w:val="00BD1385"/>
    <w:rsid w:val="00BD5BA3"/>
    <w:rsid w:val="00BD7B72"/>
    <w:rsid w:val="00BE14B0"/>
    <w:rsid w:val="00BE3227"/>
    <w:rsid w:val="00BE51B8"/>
    <w:rsid w:val="00BE51F3"/>
    <w:rsid w:val="00BE5706"/>
    <w:rsid w:val="00BE5FF7"/>
    <w:rsid w:val="00BF003C"/>
    <w:rsid w:val="00BF1C74"/>
    <w:rsid w:val="00BF722A"/>
    <w:rsid w:val="00C0013F"/>
    <w:rsid w:val="00C004DD"/>
    <w:rsid w:val="00C020C6"/>
    <w:rsid w:val="00C03D53"/>
    <w:rsid w:val="00C05243"/>
    <w:rsid w:val="00C103D7"/>
    <w:rsid w:val="00C1442F"/>
    <w:rsid w:val="00C162DC"/>
    <w:rsid w:val="00C22096"/>
    <w:rsid w:val="00C22779"/>
    <w:rsid w:val="00C2615C"/>
    <w:rsid w:val="00C26BA9"/>
    <w:rsid w:val="00C36EA8"/>
    <w:rsid w:val="00C41BC3"/>
    <w:rsid w:val="00C466E7"/>
    <w:rsid w:val="00C46BB6"/>
    <w:rsid w:val="00C514E8"/>
    <w:rsid w:val="00C52E0F"/>
    <w:rsid w:val="00C62379"/>
    <w:rsid w:val="00C62997"/>
    <w:rsid w:val="00C65192"/>
    <w:rsid w:val="00C651B2"/>
    <w:rsid w:val="00C67E82"/>
    <w:rsid w:val="00C709F5"/>
    <w:rsid w:val="00C716AA"/>
    <w:rsid w:val="00C77985"/>
    <w:rsid w:val="00C8253A"/>
    <w:rsid w:val="00CA1AB9"/>
    <w:rsid w:val="00CA3267"/>
    <w:rsid w:val="00CA5E38"/>
    <w:rsid w:val="00CA6483"/>
    <w:rsid w:val="00CA6C1B"/>
    <w:rsid w:val="00CA6E98"/>
    <w:rsid w:val="00CA7ACC"/>
    <w:rsid w:val="00CA7FD1"/>
    <w:rsid w:val="00CB1F95"/>
    <w:rsid w:val="00CB2034"/>
    <w:rsid w:val="00CB66DE"/>
    <w:rsid w:val="00CC3445"/>
    <w:rsid w:val="00CC3456"/>
    <w:rsid w:val="00CC46CB"/>
    <w:rsid w:val="00CD1AE6"/>
    <w:rsid w:val="00CD3B15"/>
    <w:rsid w:val="00CD493D"/>
    <w:rsid w:val="00CF3AA9"/>
    <w:rsid w:val="00CF3D57"/>
    <w:rsid w:val="00D02EB5"/>
    <w:rsid w:val="00D044F4"/>
    <w:rsid w:val="00D0752A"/>
    <w:rsid w:val="00D12BD8"/>
    <w:rsid w:val="00D20EAD"/>
    <w:rsid w:val="00D20FF5"/>
    <w:rsid w:val="00D22D1E"/>
    <w:rsid w:val="00D23C9B"/>
    <w:rsid w:val="00D27B92"/>
    <w:rsid w:val="00D31793"/>
    <w:rsid w:val="00D31841"/>
    <w:rsid w:val="00D3230A"/>
    <w:rsid w:val="00D352F4"/>
    <w:rsid w:val="00D42CCF"/>
    <w:rsid w:val="00D470E4"/>
    <w:rsid w:val="00D535B0"/>
    <w:rsid w:val="00D55259"/>
    <w:rsid w:val="00D61B97"/>
    <w:rsid w:val="00D62A36"/>
    <w:rsid w:val="00D66D42"/>
    <w:rsid w:val="00D67D29"/>
    <w:rsid w:val="00D750CF"/>
    <w:rsid w:val="00D77054"/>
    <w:rsid w:val="00D870DE"/>
    <w:rsid w:val="00D93498"/>
    <w:rsid w:val="00DA32AD"/>
    <w:rsid w:val="00DA6752"/>
    <w:rsid w:val="00DA6B0B"/>
    <w:rsid w:val="00DC32DF"/>
    <w:rsid w:val="00DD1855"/>
    <w:rsid w:val="00DD36F6"/>
    <w:rsid w:val="00DD68CF"/>
    <w:rsid w:val="00DD7ADF"/>
    <w:rsid w:val="00DE1D05"/>
    <w:rsid w:val="00DE2CD3"/>
    <w:rsid w:val="00DF0891"/>
    <w:rsid w:val="00DF6F92"/>
    <w:rsid w:val="00E01A17"/>
    <w:rsid w:val="00E022B3"/>
    <w:rsid w:val="00E0393A"/>
    <w:rsid w:val="00E063C4"/>
    <w:rsid w:val="00E1063A"/>
    <w:rsid w:val="00E1747A"/>
    <w:rsid w:val="00E175F9"/>
    <w:rsid w:val="00E17F98"/>
    <w:rsid w:val="00E20F06"/>
    <w:rsid w:val="00E21DDB"/>
    <w:rsid w:val="00E23FED"/>
    <w:rsid w:val="00E276C6"/>
    <w:rsid w:val="00E302BE"/>
    <w:rsid w:val="00E30944"/>
    <w:rsid w:val="00E3450D"/>
    <w:rsid w:val="00E42FB8"/>
    <w:rsid w:val="00E44423"/>
    <w:rsid w:val="00E46129"/>
    <w:rsid w:val="00E551AF"/>
    <w:rsid w:val="00E57D44"/>
    <w:rsid w:val="00E62266"/>
    <w:rsid w:val="00E63B32"/>
    <w:rsid w:val="00E65FC1"/>
    <w:rsid w:val="00E663E0"/>
    <w:rsid w:val="00E747E7"/>
    <w:rsid w:val="00E755DC"/>
    <w:rsid w:val="00E80888"/>
    <w:rsid w:val="00E80EAA"/>
    <w:rsid w:val="00E84191"/>
    <w:rsid w:val="00E8570D"/>
    <w:rsid w:val="00E94857"/>
    <w:rsid w:val="00E9694A"/>
    <w:rsid w:val="00EA21A5"/>
    <w:rsid w:val="00EA2DF0"/>
    <w:rsid w:val="00EA66CD"/>
    <w:rsid w:val="00EA7FE4"/>
    <w:rsid w:val="00EB02F6"/>
    <w:rsid w:val="00EB1DE0"/>
    <w:rsid w:val="00EB2F8A"/>
    <w:rsid w:val="00EB697C"/>
    <w:rsid w:val="00EC0329"/>
    <w:rsid w:val="00EC09D6"/>
    <w:rsid w:val="00EC0D0E"/>
    <w:rsid w:val="00EC1CD2"/>
    <w:rsid w:val="00ED558E"/>
    <w:rsid w:val="00ED6716"/>
    <w:rsid w:val="00EE45CB"/>
    <w:rsid w:val="00EE669E"/>
    <w:rsid w:val="00EF08B1"/>
    <w:rsid w:val="00EF0E21"/>
    <w:rsid w:val="00EF2137"/>
    <w:rsid w:val="00EF4338"/>
    <w:rsid w:val="00F0147E"/>
    <w:rsid w:val="00F03067"/>
    <w:rsid w:val="00F1060C"/>
    <w:rsid w:val="00F13530"/>
    <w:rsid w:val="00F1361D"/>
    <w:rsid w:val="00F150A0"/>
    <w:rsid w:val="00F21571"/>
    <w:rsid w:val="00F21757"/>
    <w:rsid w:val="00F238C0"/>
    <w:rsid w:val="00F24E2B"/>
    <w:rsid w:val="00F40805"/>
    <w:rsid w:val="00F4184F"/>
    <w:rsid w:val="00F42FF2"/>
    <w:rsid w:val="00F44BE3"/>
    <w:rsid w:val="00F477E3"/>
    <w:rsid w:val="00F50F0D"/>
    <w:rsid w:val="00F519F2"/>
    <w:rsid w:val="00F52603"/>
    <w:rsid w:val="00F52908"/>
    <w:rsid w:val="00F55F08"/>
    <w:rsid w:val="00F56917"/>
    <w:rsid w:val="00F60A0C"/>
    <w:rsid w:val="00F61C75"/>
    <w:rsid w:val="00F6474B"/>
    <w:rsid w:val="00F652A9"/>
    <w:rsid w:val="00F67629"/>
    <w:rsid w:val="00F731BB"/>
    <w:rsid w:val="00F82B1E"/>
    <w:rsid w:val="00F86B0E"/>
    <w:rsid w:val="00F90B65"/>
    <w:rsid w:val="00F91770"/>
    <w:rsid w:val="00F96252"/>
    <w:rsid w:val="00F97809"/>
    <w:rsid w:val="00FA15BD"/>
    <w:rsid w:val="00FA4AC4"/>
    <w:rsid w:val="00FB15CB"/>
    <w:rsid w:val="00FB4386"/>
    <w:rsid w:val="00FB4A54"/>
    <w:rsid w:val="00FB5A43"/>
    <w:rsid w:val="00FB7F0E"/>
    <w:rsid w:val="00FD088D"/>
    <w:rsid w:val="00FD470F"/>
    <w:rsid w:val="00FD70A6"/>
    <w:rsid w:val="00FE0982"/>
    <w:rsid w:val="00FE1C35"/>
    <w:rsid w:val="00FE3D4D"/>
    <w:rsid w:val="00FF0358"/>
    <w:rsid w:val="00FF1AAF"/>
    <w:rsid w:val="00FF273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heme="minorBidi"/>
        <w:sz w:val="22"/>
        <w:szCs w:val="22"/>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24A"/>
  </w:style>
  <w:style w:type="paragraph" w:styleId="Ttulo1">
    <w:name w:val="heading 1"/>
    <w:basedOn w:val="Normal"/>
    <w:next w:val="Normal"/>
    <w:link w:val="Ttulo1Car"/>
    <w:uiPriority w:val="9"/>
    <w:qFormat/>
    <w:rsid w:val="00A83E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131F5"/>
    <w:pPr>
      <w:tabs>
        <w:tab w:val="center" w:pos="4252"/>
        <w:tab w:val="right" w:pos="8504"/>
      </w:tabs>
    </w:pPr>
  </w:style>
  <w:style w:type="character" w:customStyle="1" w:styleId="EncabezadoCar">
    <w:name w:val="Encabezado Car"/>
    <w:basedOn w:val="Fuentedeprrafopredeter"/>
    <w:link w:val="Encabezado"/>
    <w:uiPriority w:val="99"/>
    <w:semiHidden/>
    <w:rsid w:val="008131F5"/>
  </w:style>
  <w:style w:type="paragraph" w:styleId="Piedepgina">
    <w:name w:val="footer"/>
    <w:basedOn w:val="Normal"/>
    <w:link w:val="PiedepginaCar"/>
    <w:uiPriority w:val="99"/>
    <w:unhideWhenUsed/>
    <w:rsid w:val="008131F5"/>
    <w:pPr>
      <w:tabs>
        <w:tab w:val="center" w:pos="4252"/>
        <w:tab w:val="right" w:pos="8504"/>
      </w:tabs>
    </w:pPr>
  </w:style>
  <w:style w:type="character" w:customStyle="1" w:styleId="PiedepginaCar">
    <w:name w:val="Pie de página Car"/>
    <w:basedOn w:val="Fuentedeprrafopredeter"/>
    <w:link w:val="Piedepgina"/>
    <w:uiPriority w:val="99"/>
    <w:rsid w:val="008131F5"/>
  </w:style>
  <w:style w:type="paragraph" w:styleId="Prrafodelista">
    <w:name w:val="List Paragraph"/>
    <w:basedOn w:val="Normal"/>
    <w:uiPriority w:val="34"/>
    <w:qFormat/>
    <w:rsid w:val="008131F5"/>
    <w:pPr>
      <w:spacing w:after="200" w:line="276" w:lineRule="auto"/>
      <w:ind w:left="720"/>
      <w:contextualSpacing/>
    </w:pPr>
    <w:rPr>
      <w:rFonts w:ascii="Calibri" w:eastAsia="Times New Roman" w:hAnsi="Calibri" w:cs="Times New Roman"/>
    </w:rPr>
  </w:style>
  <w:style w:type="paragraph" w:styleId="Textonotapie">
    <w:name w:val="footnote text"/>
    <w:basedOn w:val="Normal"/>
    <w:link w:val="TextonotapieCar"/>
    <w:uiPriority w:val="99"/>
    <w:unhideWhenUsed/>
    <w:rsid w:val="008131F5"/>
    <w:rPr>
      <w:sz w:val="20"/>
      <w:szCs w:val="20"/>
    </w:rPr>
  </w:style>
  <w:style w:type="character" w:customStyle="1" w:styleId="TextonotapieCar">
    <w:name w:val="Texto nota pie Car"/>
    <w:basedOn w:val="Fuentedeprrafopredeter"/>
    <w:link w:val="Textonotapie"/>
    <w:uiPriority w:val="99"/>
    <w:rsid w:val="008131F5"/>
    <w:rPr>
      <w:sz w:val="20"/>
      <w:szCs w:val="20"/>
    </w:rPr>
  </w:style>
  <w:style w:type="character" w:styleId="Refdenotaalpie">
    <w:name w:val="footnote reference"/>
    <w:basedOn w:val="Fuentedeprrafopredeter"/>
    <w:uiPriority w:val="99"/>
    <w:semiHidden/>
    <w:unhideWhenUsed/>
    <w:rsid w:val="008131F5"/>
    <w:rPr>
      <w:vertAlign w:val="superscript"/>
    </w:rPr>
  </w:style>
  <w:style w:type="paragraph" w:styleId="Textodeglobo">
    <w:name w:val="Balloon Text"/>
    <w:basedOn w:val="Normal"/>
    <w:link w:val="TextodegloboCar"/>
    <w:uiPriority w:val="99"/>
    <w:semiHidden/>
    <w:unhideWhenUsed/>
    <w:rsid w:val="00B76E79"/>
    <w:rPr>
      <w:rFonts w:ascii="Tahoma" w:hAnsi="Tahoma" w:cs="Tahoma"/>
      <w:sz w:val="16"/>
      <w:szCs w:val="16"/>
    </w:rPr>
  </w:style>
  <w:style w:type="character" w:customStyle="1" w:styleId="TextodegloboCar">
    <w:name w:val="Texto de globo Car"/>
    <w:basedOn w:val="Fuentedeprrafopredeter"/>
    <w:link w:val="Textodeglobo"/>
    <w:uiPriority w:val="99"/>
    <w:semiHidden/>
    <w:rsid w:val="00B76E79"/>
    <w:rPr>
      <w:rFonts w:ascii="Tahoma" w:hAnsi="Tahoma" w:cs="Tahoma"/>
      <w:sz w:val="16"/>
      <w:szCs w:val="16"/>
    </w:rPr>
  </w:style>
  <w:style w:type="paragraph" w:customStyle="1" w:styleId="Default">
    <w:name w:val="Default"/>
    <w:rsid w:val="00416C7C"/>
    <w:pPr>
      <w:autoSpaceDE w:val="0"/>
      <w:autoSpaceDN w:val="0"/>
      <w:adjustRightInd w:val="0"/>
    </w:pPr>
    <w:rPr>
      <w:rFonts w:ascii="EUAlbertina" w:hAnsi="EUAlbertina" w:cs="EUAlbertina"/>
      <w:color w:val="000000"/>
      <w:sz w:val="24"/>
      <w:szCs w:val="24"/>
    </w:rPr>
  </w:style>
  <w:style w:type="character" w:styleId="Hipervnculo">
    <w:name w:val="Hyperlink"/>
    <w:basedOn w:val="Fuentedeprrafopredeter"/>
    <w:uiPriority w:val="99"/>
    <w:unhideWhenUsed/>
    <w:rsid w:val="00416C7C"/>
    <w:rPr>
      <w:color w:val="0000FF" w:themeColor="hyperlink"/>
      <w:u w:val="single"/>
    </w:rPr>
  </w:style>
  <w:style w:type="paragraph" w:customStyle="1" w:styleId="CM1">
    <w:name w:val="CM1"/>
    <w:basedOn w:val="Default"/>
    <w:next w:val="Default"/>
    <w:uiPriority w:val="99"/>
    <w:rsid w:val="00416C7C"/>
    <w:rPr>
      <w:rFonts w:cstheme="minorBidi"/>
      <w:color w:val="auto"/>
    </w:rPr>
  </w:style>
  <w:style w:type="paragraph" w:customStyle="1" w:styleId="CM3">
    <w:name w:val="CM3"/>
    <w:basedOn w:val="Default"/>
    <w:next w:val="Default"/>
    <w:uiPriority w:val="99"/>
    <w:rsid w:val="00416C7C"/>
    <w:rPr>
      <w:rFonts w:cstheme="minorBidi"/>
      <w:color w:val="auto"/>
    </w:rPr>
  </w:style>
  <w:style w:type="paragraph" w:customStyle="1" w:styleId="CM4">
    <w:name w:val="CM4"/>
    <w:basedOn w:val="Default"/>
    <w:next w:val="Default"/>
    <w:uiPriority w:val="99"/>
    <w:rsid w:val="00416C7C"/>
    <w:rPr>
      <w:rFonts w:cstheme="minorBidi"/>
      <w:color w:val="auto"/>
    </w:rPr>
  </w:style>
  <w:style w:type="paragraph" w:styleId="Textonotaalfinal">
    <w:name w:val="endnote text"/>
    <w:basedOn w:val="Normal"/>
    <w:link w:val="TextonotaalfinalCar"/>
    <w:uiPriority w:val="99"/>
    <w:semiHidden/>
    <w:unhideWhenUsed/>
    <w:rsid w:val="00CC3456"/>
    <w:rPr>
      <w:sz w:val="20"/>
      <w:szCs w:val="20"/>
    </w:rPr>
  </w:style>
  <w:style w:type="character" w:customStyle="1" w:styleId="TextonotaalfinalCar">
    <w:name w:val="Texto nota al final Car"/>
    <w:basedOn w:val="Fuentedeprrafopredeter"/>
    <w:link w:val="Textonotaalfinal"/>
    <w:uiPriority w:val="99"/>
    <w:semiHidden/>
    <w:rsid w:val="00CC3456"/>
    <w:rPr>
      <w:sz w:val="20"/>
      <w:szCs w:val="20"/>
    </w:rPr>
  </w:style>
  <w:style w:type="character" w:styleId="Refdenotaalfinal">
    <w:name w:val="endnote reference"/>
    <w:basedOn w:val="Fuentedeprrafopredeter"/>
    <w:uiPriority w:val="99"/>
    <w:semiHidden/>
    <w:unhideWhenUsed/>
    <w:rsid w:val="00CC3456"/>
    <w:rPr>
      <w:vertAlign w:val="superscript"/>
    </w:rPr>
  </w:style>
  <w:style w:type="character" w:customStyle="1" w:styleId="Ttulo1Car">
    <w:name w:val="Título 1 Car"/>
    <w:basedOn w:val="Fuentedeprrafopredeter"/>
    <w:link w:val="Ttulo1"/>
    <w:uiPriority w:val="9"/>
    <w:rsid w:val="00A83EFF"/>
    <w:rPr>
      <w:rFonts w:asciiTheme="majorHAnsi" w:eastAsiaTheme="majorEastAsia" w:hAnsiTheme="majorHAnsi" w:cstheme="majorBidi"/>
      <w:b/>
      <w:bCs/>
      <w:color w:val="365F91" w:themeColor="accent1" w:themeShade="BF"/>
      <w:sz w:val="28"/>
      <w:szCs w:val="28"/>
    </w:rPr>
  </w:style>
  <w:style w:type="character" w:styleId="Refdecomentario">
    <w:name w:val="annotation reference"/>
    <w:rsid w:val="00A83EFF"/>
    <w:rPr>
      <w:sz w:val="16"/>
      <w:szCs w:val="16"/>
    </w:rPr>
  </w:style>
  <w:style w:type="paragraph" w:styleId="Textocomentario">
    <w:name w:val="annotation text"/>
    <w:basedOn w:val="Normal"/>
    <w:link w:val="TextocomentarioCar"/>
    <w:rsid w:val="00A83EFF"/>
    <w:rPr>
      <w:rFonts w:ascii="Times" w:eastAsia="Times" w:hAnsi="Times" w:cs="Times New Roman"/>
      <w:sz w:val="20"/>
      <w:szCs w:val="20"/>
    </w:rPr>
  </w:style>
  <w:style w:type="character" w:customStyle="1" w:styleId="TextocomentarioCar">
    <w:name w:val="Texto comentario Car"/>
    <w:basedOn w:val="Fuentedeprrafopredeter"/>
    <w:link w:val="Textocomentario"/>
    <w:rsid w:val="00A83EFF"/>
    <w:rPr>
      <w:rFonts w:ascii="Times" w:eastAsia="Times" w:hAnsi="Times"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003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DAAB7D-2B34-49E5-A184-E4FAA4C2E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1866</Words>
  <Characters>10268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swright</dc:creator>
  <cp:lastModifiedBy>David</cp:lastModifiedBy>
  <cp:revision>2</cp:revision>
  <cp:lastPrinted>2015-01-28T10:12:00Z</cp:lastPrinted>
  <dcterms:created xsi:type="dcterms:W3CDTF">2015-01-31T08:59:00Z</dcterms:created>
  <dcterms:modified xsi:type="dcterms:W3CDTF">2015-01-31T08:59:00Z</dcterms:modified>
</cp:coreProperties>
</file>