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B4" w:rsidRPr="008B10EF" w:rsidRDefault="00C419CD" w:rsidP="002A02B4">
      <w:pPr>
        <w:rPr>
          <w:rFonts w:asciiTheme="minorHAnsi" w:hAnsiTheme="minorHAnsi"/>
        </w:rPr>
      </w:pPr>
      <w:r w:rsidRPr="008B10EF">
        <w:rPr>
          <w:rFonts w:asciiTheme="minorHAnsi" w:hAnsiTheme="minorHAnsi"/>
        </w:rPr>
        <w:t>11</w:t>
      </w:r>
      <w:r w:rsidR="002A02B4" w:rsidRPr="008B10EF">
        <w:rPr>
          <w:rFonts w:asciiTheme="minorHAnsi" w:hAnsiTheme="minorHAnsi"/>
          <w:vertAlign w:val="superscript"/>
        </w:rPr>
        <w:t>th</w:t>
      </w:r>
      <w:r w:rsidR="002A02B4" w:rsidRPr="008B10EF">
        <w:rPr>
          <w:rFonts w:asciiTheme="minorHAnsi" w:hAnsiTheme="minorHAnsi"/>
        </w:rPr>
        <w:t xml:space="preserve"> </w:t>
      </w:r>
      <w:r w:rsidRPr="008B10EF">
        <w:rPr>
          <w:rFonts w:asciiTheme="minorHAnsi" w:hAnsiTheme="minorHAnsi"/>
        </w:rPr>
        <w:t>February 2015</w:t>
      </w:r>
    </w:p>
    <w:p w:rsidR="002A02B4" w:rsidRPr="008B10EF" w:rsidRDefault="002A02B4" w:rsidP="002A02B4">
      <w:pPr>
        <w:rPr>
          <w:rFonts w:asciiTheme="minorHAnsi" w:hAnsiTheme="minorHAnsi"/>
        </w:rPr>
      </w:pPr>
    </w:p>
    <w:p w:rsidR="006274B6" w:rsidRPr="008B10EF" w:rsidRDefault="00C419CD" w:rsidP="002A02B4">
      <w:pPr>
        <w:rPr>
          <w:rFonts w:asciiTheme="minorHAnsi" w:hAnsiTheme="minorHAnsi"/>
          <w:i/>
          <w:u w:val="single"/>
        </w:rPr>
      </w:pPr>
      <w:r w:rsidRPr="008B10EF">
        <w:rPr>
          <w:rFonts w:asciiTheme="minorHAnsi" w:hAnsiTheme="minorHAnsi"/>
          <w:i/>
          <w:u w:val="single"/>
        </w:rPr>
        <w:t>Submitted electronically</w:t>
      </w:r>
    </w:p>
    <w:p w:rsidR="002A02B4" w:rsidRPr="008B10EF" w:rsidRDefault="002A02B4" w:rsidP="002A02B4">
      <w:pPr>
        <w:rPr>
          <w:rFonts w:asciiTheme="minorHAnsi" w:hAnsiTheme="minorHAnsi"/>
        </w:rPr>
      </w:pPr>
      <w:r w:rsidRPr="008B10EF">
        <w:rPr>
          <w:rFonts w:asciiTheme="minorHAnsi" w:hAnsiTheme="minorHAnsi"/>
        </w:rPr>
        <w:t xml:space="preserve">European Banking Authority </w:t>
      </w:r>
    </w:p>
    <w:p w:rsidR="002A02B4" w:rsidRPr="008B10EF" w:rsidRDefault="002A02B4" w:rsidP="002A02B4">
      <w:pPr>
        <w:rPr>
          <w:rFonts w:asciiTheme="minorHAnsi" w:hAnsiTheme="minorHAnsi"/>
        </w:rPr>
      </w:pPr>
      <w:r w:rsidRPr="008B10EF">
        <w:rPr>
          <w:rFonts w:asciiTheme="minorHAnsi" w:hAnsiTheme="minorHAnsi"/>
        </w:rPr>
        <w:t>Tower 42</w:t>
      </w:r>
      <w:r w:rsidR="001052F3" w:rsidRPr="008B10EF">
        <w:rPr>
          <w:rFonts w:asciiTheme="minorHAnsi" w:hAnsiTheme="minorHAnsi"/>
        </w:rPr>
        <w:t xml:space="preserve">, </w:t>
      </w:r>
      <w:r w:rsidRPr="008B10EF">
        <w:rPr>
          <w:rFonts w:asciiTheme="minorHAnsi" w:hAnsiTheme="minorHAnsi"/>
        </w:rPr>
        <w:t>25 Old Broad Street</w:t>
      </w:r>
    </w:p>
    <w:p w:rsidR="002A02B4" w:rsidRPr="008B10EF" w:rsidRDefault="002A02B4" w:rsidP="002A02B4">
      <w:pPr>
        <w:rPr>
          <w:rFonts w:asciiTheme="minorHAnsi" w:hAnsiTheme="minorHAnsi"/>
        </w:rPr>
      </w:pPr>
      <w:r w:rsidRPr="008B10EF">
        <w:rPr>
          <w:rFonts w:asciiTheme="minorHAnsi" w:hAnsiTheme="minorHAnsi"/>
        </w:rPr>
        <w:t>London</w:t>
      </w:r>
    </w:p>
    <w:p w:rsidR="002A02B4" w:rsidRPr="008B10EF" w:rsidRDefault="002A02B4" w:rsidP="002A02B4">
      <w:pPr>
        <w:rPr>
          <w:rFonts w:asciiTheme="minorHAnsi" w:hAnsiTheme="minorHAnsi"/>
        </w:rPr>
      </w:pPr>
      <w:r w:rsidRPr="008B10EF">
        <w:rPr>
          <w:rFonts w:asciiTheme="minorHAnsi" w:hAnsiTheme="minorHAnsi"/>
        </w:rPr>
        <w:t>EC2N 1HQ</w:t>
      </w:r>
    </w:p>
    <w:p w:rsidR="002A02B4" w:rsidRPr="008B10EF" w:rsidRDefault="002A02B4" w:rsidP="002A02B4">
      <w:pPr>
        <w:rPr>
          <w:rFonts w:asciiTheme="minorHAnsi" w:hAnsiTheme="minorHAnsi"/>
        </w:rPr>
      </w:pPr>
      <w:r w:rsidRPr="008B10EF">
        <w:rPr>
          <w:rFonts w:asciiTheme="minorHAnsi" w:hAnsiTheme="minorHAnsi"/>
        </w:rPr>
        <w:t>United Kingdom</w:t>
      </w:r>
    </w:p>
    <w:p w:rsidR="002A02B4" w:rsidRPr="008B10EF" w:rsidRDefault="002A02B4" w:rsidP="002A02B4">
      <w:pPr>
        <w:rPr>
          <w:rFonts w:asciiTheme="minorHAnsi" w:hAnsiTheme="minorHAnsi"/>
        </w:rPr>
      </w:pPr>
    </w:p>
    <w:p w:rsidR="002A02B4" w:rsidRPr="008B10EF" w:rsidRDefault="002A02B4" w:rsidP="00C419CD">
      <w:pPr>
        <w:ind w:left="720"/>
        <w:rPr>
          <w:rFonts w:asciiTheme="minorHAnsi" w:hAnsiTheme="minorHAnsi"/>
          <w:b/>
        </w:rPr>
      </w:pPr>
      <w:r w:rsidRPr="008B10EF">
        <w:rPr>
          <w:rFonts w:asciiTheme="minorHAnsi" w:hAnsiTheme="minorHAnsi"/>
          <w:b/>
        </w:rPr>
        <w:t xml:space="preserve">Re: </w:t>
      </w:r>
      <w:r w:rsidR="00C419CD" w:rsidRPr="008B10EF">
        <w:rPr>
          <w:rFonts w:asciiTheme="minorHAnsi" w:hAnsiTheme="minorHAnsi"/>
          <w:b/>
        </w:rPr>
        <w:t xml:space="preserve">Consultation paper: Draft Guidelines on methods for calculating contributions to Deposit Guarantee Schemes </w:t>
      </w:r>
      <w:r w:rsidR="003F3C94" w:rsidRPr="008B10EF">
        <w:rPr>
          <w:rFonts w:asciiTheme="minorHAnsi" w:hAnsiTheme="minorHAnsi"/>
          <w:b/>
        </w:rPr>
        <w:t>(“</w:t>
      </w:r>
      <w:r w:rsidR="00C419CD" w:rsidRPr="008B10EF">
        <w:rPr>
          <w:rFonts w:asciiTheme="minorHAnsi" w:hAnsiTheme="minorHAnsi"/>
          <w:b/>
        </w:rPr>
        <w:t>EBA/CP/2014/35</w:t>
      </w:r>
      <w:r w:rsidR="003F3C94" w:rsidRPr="008B10EF">
        <w:rPr>
          <w:rFonts w:asciiTheme="minorHAnsi" w:hAnsiTheme="minorHAnsi"/>
          <w:b/>
        </w:rPr>
        <w:t>”)</w:t>
      </w:r>
    </w:p>
    <w:p w:rsidR="00327C05" w:rsidRPr="008B10EF" w:rsidRDefault="00327C05" w:rsidP="002A02B4">
      <w:pPr>
        <w:rPr>
          <w:rFonts w:asciiTheme="minorHAnsi" w:hAnsiTheme="minorHAnsi"/>
        </w:rPr>
      </w:pPr>
    </w:p>
    <w:p w:rsidR="002A02B4" w:rsidRPr="008B10EF" w:rsidRDefault="00C419CD" w:rsidP="002A02B4">
      <w:pPr>
        <w:rPr>
          <w:rFonts w:asciiTheme="minorHAnsi" w:hAnsiTheme="minorHAnsi"/>
        </w:rPr>
      </w:pPr>
      <w:r w:rsidRPr="008B10EF">
        <w:rPr>
          <w:rFonts w:asciiTheme="minorHAnsi" w:hAnsiTheme="minorHAnsi"/>
        </w:rPr>
        <w:t>Dear Sir or Madam</w:t>
      </w:r>
      <w:r w:rsidR="002A02B4" w:rsidRPr="008B10EF">
        <w:rPr>
          <w:rFonts w:asciiTheme="minorHAnsi" w:hAnsiTheme="minorHAnsi"/>
        </w:rPr>
        <w:t>,</w:t>
      </w:r>
    </w:p>
    <w:p w:rsidR="002A02B4" w:rsidRPr="008B10EF" w:rsidRDefault="002A02B4" w:rsidP="002A02B4">
      <w:pPr>
        <w:jc w:val="both"/>
        <w:rPr>
          <w:rFonts w:asciiTheme="minorHAnsi" w:hAnsiTheme="minorHAnsi"/>
        </w:rPr>
      </w:pPr>
    </w:p>
    <w:p w:rsidR="00F938A8" w:rsidRDefault="003F3C94" w:rsidP="00114B1B">
      <w:pPr>
        <w:rPr>
          <w:rFonts w:asciiTheme="minorHAnsi" w:hAnsiTheme="minorHAnsi"/>
        </w:rPr>
      </w:pPr>
      <w:r w:rsidRPr="008B10EF">
        <w:rPr>
          <w:rFonts w:asciiTheme="minorHAnsi" w:hAnsiTheme="minorHAnsi"/>
        </w:rPr>
        <w:t xml:space="preserve">The European Network of Credit Unions (ENCU) </w:t>
      </w:r>
      <w:r w:rsidR="000B4784" w:rsidRPr="008B10EF">
        <w:rPr>
          <w:rFonts w:asciiTheme="minorHAnsi" w:hAnsiTheme="minorHAnsi"/>
        </w:rPr>
        <w:t>appreciates</w:t>
      </w:r>
      <w:r w:rsidRPr="008B10EF">
        <w:rPr>
          <w:rFonts w:asciiTheme="minorHAnsi" w:hAnsiTheme="minorHAnsi"/>
        </w:rPr>
        <w:t xml:space="preserve"> the opportunity to comment on the European Banking Authori</w:t>
      </w:r>
      <w:r w:rsidR="00C419CD" w:rsidRPr="008B10EF">
        <w:rPr>
          <w:rFonts w:asciiTheme="minorHAnsi" w:hAnsiTheme="minorHAnsi"/>
        </w:rPr>
        <w:t>ty’s (EBA)</w:t>
      </w:r>
      <w:r w:rsidRPr="008B10EF">
        <w:rPr>
          <w:rFonts w:asciiTheme="minorHAnsi" w:hAnsiTheme="minorHAnsi"/>
        </w:rPr>
        <w:t xml:space="preserve"> </w:t>
      </w:r>
      <w:r w:rsidR="00C419CD" w:rsidRPr="008B10EF">
        <w:rPr>
          <w:rFonts w:asciiTheme="minorHAnsi" w:hAnsiTheme="minorHAnsi"/>
        </w:rPr>
        <w:t>draft guidelines on methods for calculating contributions to Deposit Guarantee Schemes</w:t>
      </w:r>
      <w:r w:rsidRPr="008B10EF">
        <w:rPr>
          <w:rFonts w:asciiTheme="minorHAnsi" w:hAnsiTheme="minorHAnsi"/>
        </w:rPr>
        <w:t xml:space="preserve"> </w:t>
      </w:r>
      <w:r w:rsidR="00C419CD" w:rsidRPr="008B10EF">
        <w:rPr>
          <w:rFonts w:asciiTheme="minorHAnsi" w:hAnsiTheme="minorHAnsi"/>
        </w:rPr>
        <w:t xml:space="preserve">(DGS) </w:t>
      </w:r>
      <w:r w:rsidRPr="008B10EF">
        <w:rPr>
          <w:rFonts w:asciiTheme="minorHAnsi" w:hAnsiTheme="minorHAnsi"/>
        </w:rPr>
        <w:t>in the European Union.</w:t>
      </w:r>
      <w:r w:rsidR="000B4784" w:rsidRPr="008B10EF">
        <w:rPr>
          <w:rStyle w:val="FootnoteReference"/>
          <w:rFonts w:asciiTheme="minorHAnsi" w:hAnsiTheme="minorHAnsi"/>
        </w:rPr>
        <w:footnoteReference w:id="1"/>
      </w:r>
      <w:r w:rsidRPr="008B10EF">
        <w:rPr>
          <w:rFonts w:asciiTheme="minorHAnsi" w:hAnsiTheme="minorHAnsi"/>
        </w:rPr>
        <w:t xml:space="preserve"> </w:t>
      </w:r>
      <w:r w:rsidR="007763FD" w:rsidRPr="008B10EF">
        <w:rPr>
          <w:rFonts w:asciiTheme="minorHAnsi" w:hAnsiTheme="minorHAnsi"/>
        </w:rPr>
        <w:t xml:space="preserve">Credit unions are consumer-owned, not-for-profit financial cooperatives </w:t>
      </w:r>
      <w:r w:rsidR="00001D60">
        <w:rPr>
          <w:rFonts w:asciiTheme="minorHAnsi" w:hAnsiTheme="minorHAnsi"/>
        </w:rPr>
        <w:t>that</w:t>
      </w:r>
      <w:r w:rsidR="007763FD" w:rsidRPr="008B10EF">
        <w:rPr>
          <w:rFonts w:asciiTheme="minorHAnsi" w:hAnsiTheme="minorHAnsi"/>
        </w:rPr>
        <w:t xml:space="preserve"> promote financial inclusion in </w:t>
      </w:r>
      <w:r w:rsidR="00F2543B" w:rsidRPr="008B10EF">
        <w:rPr>
          <w:rFonts w:asciiTheme="minorHAnsi" w:hAnsiTheme="minorHAnsi"/>
        </w:rPr>
        <w:t xml:space="preserve">financially underserved </w:t>
      </w:r>
      <w:r w:rsidR="007763FD" w:rsidRPr="008B10EF">
        <w:rPr>
          <w:rFonts w:asciiTheme="minorHAnsi" w:hAnsiTheme="minorHAnsi"/>
        </w:rPr>
        <w:t xml:space="preserve">European communities by offering their members affordable and easily understandable financial products.  </w:t>
      </w:r>
    </w:p>
    <w:p w:rsidR="00F938A8" w:rsidRDefault="00F938A8" w:rsidP="00114B1B">
      <w:pPr>
        <w:rPr>
          <w:rFonts w:asciiTheme="minorHAnsi" w:hAnsiTheme="minorHAnsi"/>
        </w:rPr>
      </w:pPr>
    </w:p>
    <w:p w:rsidR="00114B1B" w:rsidRPr="008B10EF" w:rsidRDefault="007763FD" w:rsidP="00114B1B">
      <w:pPr>
        <w:rPr>
          <w:rFonts w:asciiTheme="minorHAnsi" w:hAnsiTheme="minorHAnsi"/>
        </w:rPr>
      </w:pPr>
      <w:r w:rsidRPr="008B10EF">
        <w:rPr>
          <w:rFonts w:asciiTheme="minorHAnsi" w:hAnsiTheme="minorHAnsi"/>
        </w:rPr>
        <w:t>European credit unions are subject to the DGS Directive</w:t>
      </w:r>
      <w:r w:rsidR="00566575">
        <w:rPr>
          <w:rStyle w:val="FootnoteReference"/>
          <w:rFonts w:asciiTheme="minorHAnsi" w:hAnsiTheme="minorHAnsi"/>
        </w:rPr>
        <w:footnoteReference w:id="2"/>
      </w:r>
      <w:r w:rsidRPr="008B10EF">
        <w:rPr>
          <w:rFonts w:asciiTheme="minorHAnsi" w:hAnsiTheme="minorHAnsi"/>
        </w:rPr>
        <w:t xml:space="preserve"> even though credit unions in most Member States are exempt from the CRD IV capital requirements directive</w:t>
      </w:r>
      <w:r w:rsidR="00F2543B" w:rsidRPr="008B10EF">
        <w:rPr>
          <w:rFonts w:asciiTheme="minorHAnsi" w:hAnsiTheme="minorHAnsi"/>
        </w:rPr>
        <w:t xml:space="preserve"> under CRD IV Article 2(5)</w:t>
      </w:r>
      <w:r w:rsidRPr="008B10EF">
        <w:rPr>
          <w:rFonts w:asciiTheme="minorHAnsi" w:hAnsiTheme="minorHAnsi"/>
        </w:rPr>
        <w:t>.</w:t>
      </w:r>
      <w:r w:rsidRPr="008B10EF">
        <w:rPr>
          <w:rStyle w:val="FootnoteReference"/>
          <w:rFonts w:asciiTheme="minorHAnsi" w:hAnsiTheme="minorHAnsi"/>
        </w:rPr>
        <w:footnoteReference w:id="3"/>
      </w:r>
      <w:r w:rsidRPr="008B10EF">
        <w:rPr>
          <w:rFonts w:asciiTheme="minorHAnsi" w:hAnsiTheme="minorHAnsi"/>
        </w:rPr>
        <w:t xml:space="preserve"> </w:t>
      </w:r>
      <w:r w:rsidR="000B4784" w:rsidRPr="008B10EF">
        <w:rPr>
          <w:rFonts w:asciiTheme="minorHAnsi" w:hAnsiTheme="minorHAnsi"/>
        </w:rPr>
        <w:t>ENCU represents credit unions in</w:t>
      </w:r>
      <w:r w:rsidRPr="008B10EF">
        <w:rPr>
          <w:rFonts w:asciiTheme="minorHAnsi" w:hAnsiTheme="minorHAnsi"/>
        </w:rPr>
        <w:t xml:space="preserve"> Estonia,</w:t>
      </w:r>
      <w:r w:rsidR="000B4784" w:rsidRPr="008B10EF">
        <w:rPr>
          <w:rFonts w:asciiTheme="minorHAnsi" w:hAnsiTheme="minorHAnsi"/>
        </w:rPr>
        <w:t xml:space="preserve"> Great Britain, Ireland, Poland, Romania, and FYR Macedonia </w:t>
      </w:r>
      <w:r w:rsidR="00851168">
        <w:rPr>
          <w:rFonts w:asciiTheme="minorHAnsi" w:hAnsiTheme="minorHAnsi"/>
        </w:rPr>
        <w:t>with</w:t>
      </w:r>
      <w:r w:rsidR="000B4784" w:rsidRPr="008B10EF">
        <w:rPr>
          <w:rFonts w:asciiTheme="minorHAnsi" w:hAnsiTheme="minorHAnsi"/>
        </w:rPr>
        <w:t xml:space="preserve"> approximately €20 billion in total assets</w:t>
      </w:r>
      <w:r w:rsidRPr="008B10EF">
        <w:rPr>
          <w:rFonts w:asciiTheme="minorHAnsi" w:hAnsiTheme="minorHAnsi"/>
        </w:rPr>
        <w:t xml:space="preserve"> but an average size of only roughly €21 million in assets per institution</w:t>
      </w:r>
      <w:r w:rsidR="000B4784" w:rsidRPr="008B10EF">
        <w:rPr>
          <w:rFonts w:asciiTheme="minorHAnsi" w:hAnsiTheme="minorHAnsi"/>
        </w:rPr>
        <w:t>.</w:t>
      </w:r>
      <w:r w:rsidR="000B4784" w:rsidRPr="008B10EF">
        <w:rPr>
          <w:rStyle w:val="FootnoteReference"/>
          <w:rFonts w:asciiTheme="minorHAnsi" w:hAnsiTheme="minorHAnsi"/>
        </w:rPr>
        <w:footnoteReference w:id="4"/>
      </w:r>
      <w:r w:rsidR="000B4784" w:rsidRPr="008B10EF">
        <w:rPr>
          <w:rFonts w:asciiTheme="minorHAnsi" w:hAnsiTheme="minorHAnsi"/>
        </w:rPr>
        <w:t xml:space="preserve">  </w:t>
      </w:r>
      <w:r w:rsidR="001B7A4E" w:rsidRPr="008B10EF">
        <w:rPr>
          <w:rFonts w:asciiTheme="minorHAnsi" w:hAnsiTheme="minorHAnsi"/>
        </w:rPr>
        <w:t xml:space="preserve"> </w:t>
      </w:r>
    </w:p>
    <w:p w:rsidR="00822206" w:rsidRPr="008B10EF" w:rsidRDefault="00822206" w:rsidP="00822206">
      <w:pPr>
        <w:rPr>
          <w:rFonts w:ascii="Calibri" w:eastAsia="Calibri" w:hAnsi="Calibri"/>
          <w:szCs w:val="21"/>
          <w:lang w:eastAsia="en-US"/>
        </w:rPr>
      </w:pPr>
    </w:p>
    <w:p w:rsidR="003019A5" w:rsidRPr="008B10EF" w:rsidRDefault="003019A5" w:rsidP="003019A5">
      <w:pPr>
        <w:jc w:val="both"/>
        <w:rPr>
          <w:rFonts w:asciiTheme="minorHAnsi" w:hAnsiTheme="minorHAnsi"/>
          <w:b/>
          <w:i/>
        </w:rPr>
      </w:pPr>
      <w:r w:rsidRPr="008B10EF">
        <w:rPr>
          <w:rFonts w:asciiTheme="minorHAnsi" w:hAnsiTheme="minorHAnsi"/>
          <w:b/>
          <w:i/>
        </w:rPr>
        <w:t>Question 1: Do you have any general comments on the draft Guidelines on methods for calculating contributions to DGSs?</w:t>
      </w:r>
    </w:p>
    <w:p w:rsidR="00114B1B" w:rsidRPr="008B10EF" w:rsidRDefault="00114B1B" w:rsidP="003019A5">
      <w:pPr>
        <w:jc w:val="both"/>
        <w:rPr>
          <w:rFonts w:asciiTheme="minorHAnsi" w:hAnsiTheme="minorHAnsi"/>
          <w:b/>
          <w:i/>
        </w:rPr>
      </w:pPr>
    </w:p>
    <w:p w:rsidR="00E44B92" w:rsidRDefault="00DA6887" w:rsidP="00DA6887">
      <w:pPr>
        <w:jc w:val="both"/>
        <w:rPr>
          <w:rFonts w:asciiTheme="minorHAnsi" w:hAnsiTheme="minorHAnsi"/>
        </w:rPr>
      </w:pPr>
      <w:r>
        <w:rPr>
          <w:rFonts w:asciiTheme="minorHAnsi" w:hAnsiTheme="minorHAnsi"/>
        </w:rPr>
        <w:t xml:space="preserve">The ENCU supports the concept of creating risk-based levies for DGS fund contributions but we are concerned that the proposed guidelines underestimate the risks posed to DGS funds by large banks and also do not take into account factors </w:t>
      </w:r>
      <w:r w:rsidR="000D495A">
        <w:rPr>
          <w:rFonts w:asciiTheme="minorHAnsi" w:hAnsiTheme="minorHAnsi"/>
        </w:rPr>
        <w:t>that</w:t>
      </w:r>
      <w:r>
        <w:rPr>
          <w:rFonts w:asciiTheme="minorHAnsi" w:hAnsiTheme="minorHAnsi"/>
        </w:rPr>
        <w:t xml:space="preserve"> make small financial institutions relatively less risky on a per asset basis than large </w:t>
      </w:r>
      <w:r w:rsidR="003A125B">
        <w:rPr>
          <w:rFonts w:asciiTheme="minorHAnsi" w:hAnsiTheme="minorHAnsi"/>
        </w:rPr>
        <w:t>institutions</w:t>
      </w:r>
      <w:r>
        <w:rPr>
          <w:rFonts w:asciiTheme="minorHAnsi" w:hAnsiTheme="minorHAnsi"/>
        </w:rPr>
        <w:t>.  Small institutions like credit unions are less risky on a per asset basis than large banks because they have less complex operations and because the large size</w:t>
      </w:r>
      <w:r w:rsidR="00027D9B">
        <w:rPr>
          <w:rFonts w:asciiTheme="minorHAnsi" w:hAnsiTheme="minorHAnsi"/>
        </w:rPr>
        <w:t>s</w:t>
      </w:r>
      <w:r>
        <w:rPr>
          <w:rFonts w:asciiTheme="minorHAnsi" w:hAnsiTheme="minorHAnsi"/>
        </w:rPr>
        <w:t xml:space="preserve"> of commercial banks present concentration risk</w:t>
      </w:r>
      <w:r w:rsidR="00027D9B">
        <w:rPr>
          <w:rFonts w:asciiTheme="minorHAnsi" w:hAnsiTheme="minorHAnsi"/>
        </w:rPr>
        <w:t>s</w:t>
      </w:r>
      <w:r>
        <w:rPr>
          <w:rFonts w:asciiTheme="minorHAnsi" w:hAnsiTheme="minorHAnsi"/>
        </w:rPr>
        <w:t xml:space="preserve"> to DGS funds.  </w:t>
      </w:r>
    </w:p>
    <w:p w:rsidR="00E44B92" w:rsidRDefault="00E44B92" w:rsidP="00DA6887">
      <w:pPr>
        <w:jc w:val="both"/>
        <w:rPr>
          <w:rFonts w:asciiTheme="minorHAnsi" w:hAnsiTheme="minorHAnsi"/>
        </w:rPr>
      </w:pPr>
    </w:p>
    <w:p w:rsidR="00DA6887" w:rsidRDefault="00E44B92" w:rsidP="00E44B92">
      <w:pPr>
        <w:jc w:val="both"/>
        <w:rPr>
          <w:rFonts w:ascii="Calibri" w:eastAsia="Calibri" w:hAnsi="Calibri"/>
          <w:szCs w:val="21"/>
          <w:lang w:eastAsia="en-US"/>
        </w:rPr>
      </w:pPr>
      <w:r>
        <w:rPr>
          <w:rFonts w:asciiTheme="minorHAnsi" w:hAnsiTheme="minorHAnsi"/>
        </w:rPr>
        <w:lastRenderedPageBreak/>
        <w:t xml:space="preserve">Small institutions are also relatively less well able to afford to pay such levies and, for credit unions, the money used for DGS assessments would generally be contributed to the institution’s retained earnings but for the DGS </w:t>
      </w:r>
      <w:r w:rsidR="00B52509">
        <w:rPr>
          <w:rFonts w:asciiTheme="minorHAnsi" w:hAnsiTheme="minorHAnsi"/>
        </w:rPr>
        <w:t>levy.  This means</w:t>
      </w:r>
      <w:r>
        <w:rPr>
          <w:rFonts w:asciiTheme="minorHAnsi" w:hAnsiTheme="minorHAnsi"/>
        </w:rPr>
        <w:t xml:space="preserve"> that a high level of DGS assessments on credit unions could have the unintended consequence of increasing the DGS fund’s liabilities. </w:t>
      </w:r>
      <w:r w:rsidRPr="00E44B92">
        <w:rPr>
          <w:rFonts w:ascii="Calibri" w:eastAsia="Calibri" w:hAnsi="Calibri"/>
          <w:szCs w:val="21"/>
          <w:lang w:eastAsia="en-US"/>
        </w:rPr>
        <w:t xml:space="preserve"> </w:t>
      </w:r>
    </w:p>
    <w:p w:rsidR="00D82A76" w:rsidRDefault="00D82A76" w:rsidP="00E44B92">
      <w:pPr>
        <w:jc w:val="both"/>
        <w:rPr>
          <w:rFonts w:ascii="Calibri" w:eastAsia="Calibri" w:hAnsi="Calibri"/>
          <w:szCs w:val="21"/>
          <w:lang w:eastAsia="en-US"/>
        </w:rPr>
      </w:pPr>
    </w:p>
    <w:p w:rsidR="00E44B92" w:rsidRDefault="00E44B92" w:rsidP="00E44B92">
      <w:pPr>
        <w:jc w:val="both"/>
        <w:rPr>
          <w:rFonts w:ascii="Calibri" w:eastAsia="Calibri" w:hAnsi="Calibri"/>
          <w:szCs w:val="21"/>
          <w:lang w:eastAsia="en-US"/>
        </w:rPr>
      </w:pPr>
      <w:r w:rsidRPr="008B10EF">
        <w:rPr>
          <w:rFonts w:ascii="Calibri" w:eastAsia="Calibri" w:hAnsi="Calibri"/>
          <w:szCs w:val="21"/>
          <w:lang w:eastAsia="en-US"/>
        </w:rPr>
        <w:t>We urge the EBA to establish a DGS levy system that takes into account the value of an institution’s Covered Deposits (CD) relative to the DGS funds’ total CD liabilities or</w:t>
      </w:r>
      <w:r w:rsidR="000E1364">
        <w:rPr>
          <w:rFonts w:ascii="Calibri" w:eastAsia="Calibri" w:hAnsi="Calibri"/>
          <w:szCs w:val="21"/>
          <w:lang w:eastAsia="en-US"/>
        </w:rPr>
        <w:t xml:space="preserve"> </w:t>
      </w:r>
      <w:r w:rsidR="00F06E4B">
        <w:rPr>
          <w:rFonts w:ascii="Calibri" w:eastAsia="Calibri" w:hAnsi="Calibri"/>
          <w:szCs w:val="21"/>
          <w:lang w:eastAsia="en-US"/>
        </w:rPr>
        <w:t>the DGS fund’s</w:t>
      </w:r>
      <w:r w:rsidRPr="008B10EF">
        <w:rPr>
          <w:rFonts w:ascii="Calibri" w:eastAsia="Calibri" w:hAnsi="Calibri"/>
          <w:szCs w:val="21"/>
          <w:lang w:eastAsia="en-US"/>
        </w:rPr>
        <w:t xml:space="preserve"> total reserves</w:t>
      </w:r>
      <w:r>
        <w:rPr>
          <w:rFonts w:ascii="Calibri" w:eastAsia="Calibri" w:hAnsi="Calibri"/>
          <w:szCs w:val="21"/>
          <w:lang w:eastAsia="en-US"/>
        </w:rPr>
        <w:t xml:space="preserve">, and equates </w:t>
      </w:r>
      <w:r w:rsidR="00D82A76">
        <w:rPr>
          <w:rFonts w:ascii="Calibri" w:eastAsia="Calibri" w:hAnsi="Calibri"/>
          <w:szCs w:val="21"/>
          <w:lang w:eastAsia="en-US"/>
        </w:rPr>
        <w:t xml:space="preserve">lower risk with </w:t>
      </w:r>
      <w:r>
        <w:rPr>
          <w:rFonts w:ascii="Calibri" w:eastAsia="Calibri" w:hAnsi="Calibri"/>
          <w:szCs w:val="21"/>
          <w:lang w:eastAsia="en-US"/>
        </w:rPr>
        <w:t xml:space="preserve">a lower ratio </w:t>
      </w:r>
      <w:r w:rsidR="00D82A76">
        <w:rPr>
          <w:rFonts w:ascii="Calibri" w:eastAsia="Calibri" w:hAnsi="Calibri"/>
          <w:szCs w:val="21"/>
          <w:lang w:eastAsia="en-US"/>
        </w:rPr>
        <w:t>of these measures</w:t>
      </w:r>
      <w:r>
        <w:rPr>
          <w:rFonts w:ascii="Calibri" w:eastAsia="Calibri" w:hAnsi="Calibri"/>
          <w:szCs w:val="21"/>
          <w:lang w:eastAsia="en-US"/>
        </w:rPr>
        <w:t>.</w:t>
      </w:r>
      <w:r w:rsidRPr="008B10EF">
        <w:rPr>
          <w:rFonts w:ascii="Calibri" w:eastAsia="Calibri" w:hAnsi="Calibri"/>
          <w:szCs w:val="21"/>
          <w:lang w:eastAsia="en-US"/>
        </w:rPr>
        <w:t xml:space="preserve">  </w:t>
      </w:r>
    </w:p>
    <w:p w:rsidR="00DA6887" w:rsidRDefault="00DA6887" w:rsidP="003019A5">
      <w:pPr>
        <w:jc w:val="both"/>
        <w:rPr>
          <w:rFonts w:asciiTheme="minorHAnsi" w:hAnsiTheme="minorHAnsi"/>
        </w:rPr>
      </w:pPr>
    </w:p>
    <w:p w:rsidR="00E44B92" w:rsidRPr="00DA6887" w:rsidRDefault="00E44B92" w:rsidP="003019A5">
      <w:pPr>
        <w:jc w:val="both"/>
        <w:rPr>
          <w:rFonts w:asciiTheme="minorHAnsi" w:hAnsiTheme="minorHAnsi"/>
        </w:rPr>
      </w:pPr>
      <w:r>
        <w:rPr>
          <w:rFonts w:asciiTheme="minorHAnsi" w:hAnsiTheme="minorHAnsi"/>
        </w:rPr>
        <w:t xml:space="preserve">The ENCU’s view on how best to quantify the risks to DGS funds </w:t>
      </w:r>
      <w:r w:rsidR="006506C9">
        <w:rPr>
          <w:rFonts w:asciiTheme="minorHAnsi" w:hAnsiTheme="minorHAnsi"/>
        </w:rPr>
        <w:t>based on</w:t>
      </w:r>
      <w:r>
        <w:rPr>
          <w:rFonts w:asciiTheme="minorHAnsi" w:hAnsiTheme="minorHAnsi"/>
        </w:rPr>
        <w:t xml:space="preserve"> institutional size are discussed in more detail as part of our response to Question 5, below.</w:t>
      </w:r>
    </w:p>
    <w:p w:rsidR="008B10EF" w:rsidRPr="008B10EF" w:rsidRDefault="008B10EF" w:rsidP="003019A5">
      <w:pPr>
        <w:jc w:val="both"/>
        <w:rPr>
          <w:rFonts w:asciiTheme="minorHAnsi" w:hAnsiTheme="minorHAnsi"/>
          <w:b/>
          <w:i/>
        </w:rPr>
      </w:pPr>
    </w:p>
    <w:p w:rsidR="003019A5" w:rsidRPr="008B10EF" w:rsidRDefault="003019A5" w:rsidP="003019A5">
      <w:pPr>
        <w:jc w:val="both"/>
        <w:rPr>
          <w:rFonts w:asciiTheme="minorHAnsi" w:hAnsiTheme="minorHAnsi"/>
          <w:b/>
          <w:i/>
        </w:rPr>
      </w:pPr>
      <w:r w:rsidRPr="008B10EF">
        <w:rPr>
          <w:rFonts w:asciiTheme="minorHAnsi" w:hAnsiTheme="minorHAnsi"/>
          <w:b/>
          <w:i/>
        </w:rPr>
        <w:t>Question 5: Do you agree with the core risk indicators proposed in these Guidelines? If not, please specify your reasons and suggest alternative indicators that can be applied to institutions in all Member States. Do you foresee any unintended consequences that could stem from the suggested indicators?</w:t>
      </w:r>
    </w:p>
    <w:p w:rsidR="003019A5" w:rsidRPr="008B10EF" w:rsidRDefault="003019A5" w:rsidP="003019A5">
      <w:pPr>
        <w:jc w:val="both"/>
        <w:rPr>
          <w:rFonts w:asciiTheme="minorHAnsi" w:hAnsiTheme="minorHAnsi"/>
        </w:rPr>
      </w:pPr>
    </w:p>
    <w:p w:rsidR="000A6A14" w:rsidRPr="000A6A14" w:rsidRDefault="000A6A14" w:rsidP="006131B5">
      <w:pPr>
        <w:rPr>
          <w:rFonts w:ascii="Calibri" w:eastAsia="Calibri" w:hAnsi="Calibri"/>
          <w:szCs w:val="21"/>
          <w:lang w:eastAsia="en-US"/>
        </w:rPr>
      </w:pPr>
      <w:r>
        <w:rPr>
          <w:rFonts w:ascii="Calibri" w:eastAsia="Calibri" w:hAnsi="Calibri"/>
          <w:szCs w:val="21"/>
          <w:lang w:eastAsia="en-US"/>
        </w:rPr>
        <w:t xml:space="preserve">The ENCU’s comments on the core risk indicators address the following four issues: (a) </w:t>
      </w:r>
      <w:r w:rsidRPr="000A6A14">
        <w:rPr>
          <w:rFonts w:ascii="Calibri" w:eastAsia="Calibri" w:hAnsi="Calibri"/>
          <w:szCs w:val="21"/>
          <w:lang w:eastAsia="en-US"/>
        </w:rPr>
        <w:t>Ratio of institutional Covered Deposits relative to total DGS fund liabilities or reserves</w:t>
      </w:r>
      <w:r>
        <w:rPr>
          <w:rFonts w:ascii="Calibri" w:eastAsia="Calibri" w:hAnsi="Calibri"/>
          <w:szCs w:val="21"/>
          <w:lang w:eastAsia="en-US"/>
        </w:rPr>
        <w:t xml:space="preserve">; (b) </w:t>
      </w:r>
      <w:r w:rsidRPr="000A6A14">
        <w:rPr>
          <w:rFonts w:ascii="Calibri" w:eastAsia="Calibri" w:hAnsi="Calibri"/>
          <w:szCs w:val="21"/>
          <w:lang w:eastAsia="en-US"/>
        </w:rPr>
        <w:t>Return on Assets (</w:t>
      </w:r>
      <w:proofErr w:type="spellStart"/>
      <w:r w:rsidRPr="000A6A14">
        <w:rPr>
          <w:rFonts w:ascii="Calibri" w:eastAsia="Calibri" w:hAnsi="Calibri"/>
          <w:szCs w:val="21"/>
          <w:lang w:eastAsia="en-US"/>
        </w:rPr>
        <w:t>RoA</w:t>
      </w:r>
      <w:proofErr w:type="spellEnd"/>
      <w:r w:rsidRPr="000A6A14">
        <w:rPr>
          <w:rFonts w:ascii="Calibri" w:eastAsia="Calibri" w:hAnsi="Calibri"/>
          <w:szCs w:val="21"/>
          <w:lang w:eastAsia="en-US"/>
        </w:rPr>
        <w:t>) versus additions to retained earnings</w:t>
      </w:r>
      <w:r>
        <w:rPr>
          <w:rFonts w:ascii="Calibri" w:eastAsia="Calibri" w:hAnsi="Calibri"/>
          <w:szCs w:val="21"/>
          <w:lang w:eastAsia="en-US"/>
        </w:rPr>
        <w:t xml:space="preserve">; (c) </w:t>
      </w:r>
      <w:r w:rsidRPr="000A6A14">
        <w:rPr>
          <w:rFonts w:ascii="Calibri" w:eastAsia="Calibri" w:hAnsi="Calibri"/>
          <w:szCs w:val="21"/>
          <w:lang w:eastAsia="en-US"/>
        </w:rPr>
        <w:t>Institutional Protection Schemes</w:t>
      </w:r>
      <w:r>
        <w:rPr>
          <w:rFonts w:ascii="Calibri" w:eastAsia="Calibri" w:hAnsi="Calibri"/>
          <w:szCs w:val="21"/>
          <w:lang w:eastAsia="en-US"/>
        </w:rPr>
        <w:t xml:space="preserve">; and (d) </w:t>
      </w:r>
      <w:r w:rsidRPr="000A6A14">
        <w:rPr>
          <w:rFonts w:ascii="Calibri" w:eastAsia="Calibri" w:hAnsi="Calibri"/>
          <w:szCs w:val="21"/>
          <w:lang w:eastAsia="en-US"/>
        </w:rPr>
        <w:t>Use of CRD IV risk-based capital and liquidity measures</w:t>
      </w:r>
      <w:r>
        <w:rPr>
          <w:rFonts w:ascii="Calibri" w:eastAsia="Calibri" w:hAnsi="Calibri"/>
          <w:szCs w:val="21"/>
          <w:lang w:eastAsia="en-US"/>
        </w:rPr>
        <w:t>.</w:t>
      </w:r>
    </w:p>
    <w:p w:rsidR="000A6A14" w:rsidRDefault="000A6A14" w:rsidP="006131B5">
      <w:pPr>
        <w:rPr>
          <w:rFonts w:ascii="Calibri" w:eastAsia="Calibri" w:hAnsi="Calibri"/>
          <w:szCs w:val="21"/>
          <w:u w:val="single"/>
          <w:lang w:eastAsia="en-US"/>
        </w:rPr>
      </w:pPr>
    </w:p>
    <w:p w:rsidR="0011193B" w:rsidRPr="008B10EF" w:rsidRDefault="008B10EF" w:rsidP="006131B5">
      <w:pPr>
        <w:rPr>
          <w:rFonts w:ascii="Calibri" w:eastAsia="Calibri" w:hAnsi="Calibri"/>
          <w:szCs w:val="21"/>
          <w:u w:val="single"/>
          <w:lang w:eastAsia="en-US"/>
        </w:rPr>
      </w:pPr>
      <w:r>
        <w:rPr>
          <w:rFonts w:ascii="Calibri" w:eastAsia="Calibri" w:hAnsi="Calibri"/>
          <w:szCs w:val="21"/>
          <w:u w:val="single"/>
          <w:lang w:eastAsia="en-US"/>
        </w:rPr>
        <w:t xml:space="preserve">a. </w:t>
      </w:r>
      <w:r w:rsidRPr="008B10EF">
        <w:rPr>
          <w:rFonts w:ascii="Calibri" w:eastAsia="Calibri" w:hAnsi="Calibri"/>
          <w:szCs w:val="21"/>
          <w:u w:val="single"/>
          <w:lang w:eastAsia="en-US"/>
        </w:rPr>
        <w:t>Ratio of institutional Covered Deposits relative to total DGS fund liabilities or reserves</w:t>
      </w:r>
    </w:p>
    <w:p w:rsidR="008B10EF" w:rsidRPr="008B10EF" w:rsidRDefault="008B10EF" w:rsidP="006131B5">
      <w:pPr>
        <w:rPr>
          <w:rFonts w:ascii="Calibri" w:eastAsia="Calibri" w:hAnsi="Calibri"/>
          <w:szCs w:val="21"/>
          <w:lang w:eastAsia="en-US"/>
        </w:rPr>
      </w:pPr>
    </w:p>
    <w:p w:rsidR="008B10EF" w:rsidRPr="008B10EF" w:rsidRDefault="008B10EF" w:rsidP="008B10EF">
      <w:pPr>
        <w:rPr>
          <w:rFonts w:ascii="Calibri" w:eastAsia="Calibri" w:hAnsi="Calibri"/>
          <w:szCs w:val="21"/>
          <w:lang w:eastAsia="en-US"/>
        </w:rPr>
      </w:pPr>
      <w:r w:rsidRPr="008B10EF">
        <w:rPr>
          <w:rFonts w:ascii="Calibri" w:eastAsia="Calibri" w:hAnsi="Calibri"/>
          <w:szCs w:val="21"/>
          <w:lang w:eastAsia="en-US"/>
        </w:rPr>
        <w:t xml:space="preserve">We urge the EBA to establish a DGS levy system that takes into account the value of an institution’s Covered Deposits (CD) relative to the DGS funds’ total CD liabilities or total reserves.  We believe that consideration of institutional CD relative to the DGS fund’s total liabilities or reserves would appropriately place small financial institutions generally in the low risk sector “bucket” discussed in Annex 1 </w:t>
      </w:r>
      <w:r w:rsidR="00B27D14">
        <w:rPr>
          <w:rFonts w:ascii="Calibri" w:eastAsia="Calibri" w:hAnsi="Calibri"/>
          <w:szCs w:val="21"/>
          <w:lang w:eastAsia="en-US"/>
        </w:rPr>
        <w:t>which</w:t>
      </w:r>
      <w:r w:rsidRPr="008B10EF">
        <w:rPr>
          <w:rFonts w:ascii="Calibri" w:eastAsia="Calibri" w:hAnsi="Calibri"/>
          <w:szCs w:val="21"/>
          <w:lang w:eastAsia="en-US"/>
        </w:rPr>
        <w:t xml:space="preserve"> would have a lower rate of DGS assessment</w:t>
      </w:r>
      <w:r w:rsidR="00EC6207">
        <w:rPr>
          <w:rFonts w:ascii="Calibri" w:eastAsia="Calibri" w:hAnsi="Calibri"/>
          <w:szCs w:val="21"/>
          <w:lang w:eastAsia="en-US"/>
        </w:rPr>
        <w:t>.  In the alternative</w:t>
      </w:r>
      <w:r w:rsidRPr="008B10EF">
        <w:rPr>
          <w:rFonts w:ascii="Calibri" w:eastAsia="Calibri" w:hAnsi="Calibri"/>
          <w:szCs w:val="21"/>
          <w:lang w:eastAsia="en-US"/>
        </w:rPr>
        <w:t xml:space="preserve"> </w:t>
      </w:r>
      <w:r w:rsidR="00833BF5">
        <w:rPr>
          <w:rFonts w:ascii="Calibri" w:eastAsia="Calibri" w:hAnsi="Calibri"/>
          <w:szCs w:val="21"/>
          <w:lang w:eastAsia="en-US"/>
        </w:rPr>
        <w:t>“</w:t>
      </w:r>
      <w:r w:rsidRPr="008B10EF">
        <w:rPr>
          <w:rFonts w:ascii="Calibri" w:eastAsia="Calibri" w:hAnsi="Calibri"/>
          <w:szCs w:val="21"/>
          <w:lang w:eastAsia="en-US"/>
        </w:rPr>
        <w:t>sliding scale</w:t>
      </w:r>
      <w:r w:rsidR="00833BF5">
        <w:rPr>
          <w:rFonts w:ascii="Calibri" w:eastAsia="Calibri" w:hAnsi="Calibri"/>
          <w:szCs w:val="21"/>
          <w:lang w:eastAsia="en-US"/>
        </w:rPr>
        <w:t>”</w:t>
      </w:r>
      <w:r w:rsidR="00EC6207">
        <w:rPr>
          <w:rFonts w:ascii="Calibri" w:eastAsia="Calibri" w:hAnsi="Calibri"/>
          <w:szCs w:val="21"/>
          <w:lang w:eastAsia="en-US"/>
        </w:rPr>
        <w:t xml:space="preserve"> approach</w:t>
      </w:r>
      <w:r w:rsidRPr="008B10EF">
        <w:rPr>
          <w:rFonts w:ascii="Calibri" w:eastAsia="Calibri" w:hAnsi="Calibri"/>
          <w:szCs w:val="21"/>
          <w:lang w:eastAsia="en-US"/>
        </w:rPr>
        <w:t>,</w:t>
      </w:r>
      <w:r w:rsidR="00EC6207">
        <w:rPr>
          <w:rFonts w:ascii="Calibri" w:eastAsia="Calibri" w:hAnsi="Calibri"/>
          <w:szCs w:val="21"/>
          <w:lang w:eastAsia="en-US"/>
        </w:rPr>
        <w:t xml:space="preserve"> taking </w:t>
      </w:r>
      <w:r w:rsidR="00EC6207" w:rsidRPr="008B10EF">
        <w:rPr>
          <w:rFonts w:ascii="Calibri" w:eastAsia="Calibri" w:hAnsi="Calibri"/>
          <w:szCs w:val="21"/>
          <w:lang w:eastAsia="en-US"/>
        </w:rPr>
        <w:t>into account the value of an institution’s CD relative to the DGS funds’ total CD liabilities or total reserves</w:t>
      </w:r>
      <w:r w:rsidR="00EC6207">
        <w:rPr>
          <w:rFonts w:ascii="Calibri" w:eastAsia="Calibri" w:hAnsi="Calibri"/>
          <w:szCs w:val="21"/>
          <w:lang w:eastAsia="en-US"/>
        </w:rPr>
        <w:t xml:space="preserve"> would </w:t>
      </w:r>
      <w:r w:rsidR="00474461">
        <w:rPr>
          <w:rFonts w:ascii="Calibri" w:eastAsia="Calibri" w:hAnsi="Calibri"/>
          <w:szCs w:val="21"/>
          <w:lang w:eastAsia="en-US"/>
        </w:rPr>
        <w:t xml:space="preserve">also </w:t>
      </w:r>
      <w:r w:rsidRPr="008B10EF">
        <w:rPr>
          <w:rFonts w:ascii="Calibri" w:eastAsia="Calibri" w:hAnsi="Calibri"/>
          <w:szCs w:val="21"/>
          <w:lang w:eastAsia="en-US"/>
        </w:rPr>
        <w:t>appropriately control for</w:t>
      </w:r>
      <w:r w:rsidR="00A04AC5">
        <w:rPr>
          <w:rFonts w:ascii="Calibri" w:eastAsia="Calibri" w:hAnsi="Calibri"/>
          <w:szCs w:val="21"/>
          <w:lang w:eastAsia="en-US"/>
        </w:rPr>
        <w:t xml:space="preserve"> the</w:t>
      </w:r>
      <w:r w:rsidRPr="008B10EF">
        <w:rPr>
          <w:rFonts w:ascii="Calibri" w:eastAsia="Calibri" w:hAnsi="Calibri"/>
          <w:szCs w:val="21"/>
          <w:lang w:eastAsia="en-US"/>
        </w:rPr>
        <w:t xml:space="preserve"> </w:t>
      </w:r>
      <w:r w:rsidR="00A04AC5">
        <w:rPr>
          <w:rFonts w:ascii="Calibri" w:eastAsia="Calibri" w:hAnsi="Calibri"/>
          <w:szCs w:val="21"/>
          <w:lang w:eastAsia="en-US"/>
        </w:rPr>
        <w:t xml:space="preserve">higher-risk business activities </w:t>
      </w:r>
      <w:r w:rsidR="00833BF5">
        <w:rPr>
          <w:rFonts w:ascii="Calibri" w:eastAsia="Calibri" w:hAnsi="Calibri"/>
          <w:szCs w:val="21"/>
          <w:lang w:eastAsia="en-US"/>
        </w:rPr>
        <w:t>of large banks</w:t>
      </w:r>
      <w:r w:rsidR="0034373B">
        <w:rPr>
          <w:rFonts w:ascii="Calibri" w:eastAsia="Calibri" w:hAnsi="Calibri"/>
          <w:szCs w:val="21"/>
          <w:lang w:eastAsia="en-US"/>
        </w:rPr>
        <w:t>,</w:t>
      </w:r>
      <w:r w:rsidR="00833BF5">
        <w:rPr>
          <w:rFonts w:ascii="Calibri" w:eastAsia="Calibri" w:hAnsi="Calibri"/>
          <w:szCs w:val="21"/>
          <w:lang w:eastAsia="en-US"/>
        </w:rPr>
        <w:t xml:space="preserve"> as well as</w:t>
      </w:r>
      <w:r w:rsidR="0034373B">
        <w:rPr>
          <w:rFonts w:ascii="Calibri" w:eastAsia="Calibri" w:hAnsi="Calibri"/>
          <w:szCs w:val="21"/>
          <w:lang w:eastAsia="en-US"/>
        </w:rPr>
        <w:t xml:space="preserve"> for</w:t>
      </w:r>
      <w:r w:rsidR="00833BF5">
        <w:rPr>
          <w:rFonts w:ascii="Calibri" w:eastAsia="Calibri" w:hAnsi="Calibri"/>
          <w:szCs w:val="21"/>
          <w:lang w:eastAsia="en-US"/>
        </w:rPr>
        <w:t xml:space="preserve"> the </w:t>
      </w:r>
      <w:r w:rsidR="00A04AC5">
        <w:rPr>
          <w:rFonts w:ascii="Calibri" w:eastAsia="Calibri" w:hAnsi="Calibri"/>
          <w:szCs w:val="21"/>
          <w:lang w:eastAsia="en-US"/>
        </w:rPr>
        <w:t xml:space="preserve">higher </w:t>
      </w:r>
      <w:r w:rsidRPr="008B10EF">
        <w:rPr>
          <w:rFonts w:ascii="Calibri" w:eastAsia="Calibri" w:hAnsi="Calibri"/>
          <w:szCs w:val="21"/>
          <w:lang w:eastAsia="en-US"/>
        </w:rPr>
        <w:t>concentration risk</w:t>
      </w:r>
      <w:r w:rsidR="0034373B">
        <w:rPr>
          <w:rFonts w:ascii="Calibri" w:eastAsia="Calibri" w:hAnsi="Calibri"/>
          <w:szCs w:val="21"/>
          <w:lang w:eastAsia="en-US"/>
        </w:rPr>
        <w:t>s</w:t>
      </w:r>
      <w:r w:rsidRPr="008B10EF">
        <w:rPr>
          <w:rFonts w:ascii="Calibri" w:eastAsia="Calibri" w:hAnsi="Calibri"/>
          <w:szCs w:val="21"/>
          <w:lang w:eastAsia="en-US"/>
        </w:rPr>
        <w:t xml:space="preserve"> presented by institutions that are large compared to </w:t>
      </w:r>
      <w:r w:rsidR="002F192A">
        <w:rPr>
          <w:rFonts w:ascii="Calibri" w:eastAsia="Calibri" w:hAnsi="Calibri"/>
          <w:szCs w:val="21"/>
          <w:lang w:eastAsia="en-US"/>
        </w:rPr>
        <w:t>a</w:t>
      </w:r>
      <w:r w:rsidRPr="008B10EF">
        <w:rPr>
          <w:rFonts w:ascii="Calibri" w:eastAsia="Calibri" w:hAnsi="Calibri"/>
          <w:szCs w:val="21"/>
          <w:lang w:eastAsia="en-US"/>
        </w:rPr>
        <w:t xml:space="preserve"> DGS fund’s </w:t>
      </w:r>
      <w:r w:rsidR="002D0057">
        <w:rPr>
          <w:rFonts w:ascii="Calibri" w:eastAsia="Calibri" w:hAnsi="Calibri"/>
          <w:szCs w:val="21"/>
          <w:lang w:eastAsia="en-US"/>
        </w:rPr>
        <w:t>total CD</w:t>
      </w:r>
      <w:r w:rsidRPr="008B10EF">
        <w:rPr>
          <w:rFonts w:ascii="Calibri" w:eastAsia="Calibri" w:hAnsi="Calibri"/>
          <w:szCs w:val="21"/>
          <w:lang w:eastAsia="en-US"/>
        </w:rPr>
        <w:t xml:space="preserve"> exposures or </w:t>
      </w:r>
      <w:r w:rsidR="002D0057">
        <w:rPr>
          <w:rFonts w:ascii="Calibri" w:eastAsia="Calibri" w:hAnsi="Calibri"/>
          <w:szCs w:val="21"/>
          <w:lang w:eastAsia="en-US"/>
        </w:rPr>
        <w:t>reserves</w:t>
      </w:r>
      <w:r w:rsidRPr="008B10EF">
        <w:rPr>
          <w:rFonts w:ascii="Calibri" w:eastAsia="Calibri" w:hAnsi="Calibri"/>
          <w:szCs w:val="21"/>
          <w:lang w:eastAsia="en-US"/>
        </w:rPr>
        <w:t xml:space="preserve">.  </w:t>
      </w:r>
    </w:p>
    <w:p w:rsidR="008B10EF" w:rsidRPr="008B10EF" w:rsidRDefault="008B10EF" w:rsidP="008B10EF">
      <w:pPr>
        <w:rPr>
          <w:rFonts w:ascii="Calibri" w:eastAsia="Calibri" w:hAnsi="Calibri"/>
          <w:szCs w:val="21"/>
          <w:lang w:eastAsia="en-US"/>
        </w:rPr>
      </w:pPr>
    </w:p>
    <w:p w:rsidR="008B10EF" w:rsidRPr="008B10EF" w:rsidRDefault="008B10EF" w:rsidP="008B10EF">
      <w:pPr>
        <w:rPr>
          <w:rFonts w:ascii="Calibri" w:eastAsia="Calibri" w:hAnsi="Calibri"/>
          <w:szCs w:val="21"/>
          <w:lang w:eastAsia="en-US"/>
        </w:rPr>
      </w:pPr>
      <w:r w:rsidRPr="008B10EF">
        <w:rPr>
          <w:rFonts w:ascii="Calibri" w:eastAsia="Calibri" w:hAnsi="Calibri"/>
          <w:szCs w:val="21"/>
          <w:lang w:eastAsia="en-US"/>
        </w:rPr>
        <w:t xml:space="preserve">We believe that equating smaller financial institution asset size with the lower risk sector is appropriate based on safety and soundness reasons as well as on public policy, and </w:t>
      </w:r>
      <w:r w:rsidR="00655DE3">
        <w:rPr>
          <w:rFonts w:ascii="Calibri" w:eastAsia="Calibri" w:hAnsi="Calibri"/>
          <w:szCs w:val="21"/>
          <w:lang w:eastAsia="en-US"/>
        </w:rPr>
        <w:t>is</w:t>
      </w:r>
      <w:r w:rsidR="00B95F90">
        <w:rPr>
          <w:rFonts w:ascii="Calibri" w:eastAsia="Calibri" w:hAnsi="Calibri"/>
          <w:szCs w:val="21"/>
          <w:lang w:eastAsia="en-US"/>
        </w:rPr>
        <w:t xml:space="preserve"> also appropriate because of</w:t>
      </w:r>
      <w:r w:rsidRPr="008B10EF">
        <w:rPr>
          <w:rFonts w:ascii="Calibri" w:eastAsia="Calibri" w:hAnsi="Calibri"/>
          <w:szCs w:val="21"/>
          <w:lang w:eastAsia="en-US"/>
        </w:rPr>
        <w:t xml:space="preserve"> </w:t>
      </w:r>
      <w:r w:rsidR="001D72F6">
        <w:rPr>
          <w:rFonts w:ascii="Calibri" w:eastAsia="Calibri" w:hAnsi="Calibri"/>
          <w:szCs w:val="21"/>
          <w:lang w:eastAsia="en-US"/>
        </w:rPr>
        <w:t>large banks’</w:t>
      </w:r>
      <w:r w:rsidRPr="008B10EF">
        <w:rPr>
          <w:rFonts w:ascii="Calibri" w:eastAsia="Calibri" w:hAnsi="Calibri"/>
          <w:szCs w:val="21"/>
          <w:lang w:eastAsia="en-US"/>
        </w:rPr>
        <w:t xml:space="preserve"> de facto public subsidy </w:t>
      </w:r>
      <w:r w:rsidR="001D72F6">
        <w:rPr>
          <w:rFonts w:ascii="Calibri" w:eastAsia="Calibri" w:hAnsi="Calibri"/>
          <w:szCs w:val="21"/>
          <w:lang w:eastAsia="en-US"/>
        </w:rPr>
        <w:t>created</w:t>
      </w:r>
      <w:r w:rsidRPr="008B10EF">
        <w:rPr>
          <w:rFonts w:ascii="Calibri" w:eastAsia="Calibri" w:hAnsi="Calibri"/>
          <w:szCs w:val="21"/>
          <w:lang w:eastAsia="en-US"/>
        </w:rPr>
        <w:t xml:space="preserve"> by </w:t>
      </w:r>
      <w:r w:rsidR="008640A1">
        <w:rPr>
          <w:rFonts w:ascii="Calibri" w:eastAsia="Calibri" w:hAnsi="Calibri"/>
          <w:szCs w:val="21"/>
          <w:lang w:eastAsia="en-US"/>
        </w:rPr>
        <w:t xml:space="preserve">the implicit state-backing of </w:t>
      </w:r>
      <w:r w:rsidRPr="008B10EF">
        <w:rPr>
          <w:rFonts w:ascii="Calibri" w:eastAsia="Calibri" w:hAnsi="Calibri"/>
          <w:szCs w:val="21"/>
          <w:lang w:eastAsia="en-US"/>
        </w:rPr>
        <w:t xml:space="preserve">“too big to fail” </w:t>
      </w:r>
      <w:r w:rsidR="001D72F6">
        <w:rPr>
          <w:rFonts w:ascii="Calibri" w:eastAsia="Calibri" w:hAnsi="Calibri"/>
          <w:szCs w:val="21"/>
          <w:lang w:eastAsia="en-US"/>
        </w:rPr>
        <w:t>institutions</w:t>
      </w:r>
      <w:r w:rsidRPr="008B10EF">
        <w:rPr>
          <w:rFonts w:ascii="Calibri" w:eastAsia="Calibri" w:hAnsi="Calibri"/>
          <w:szCs w:val="21"/>
          <w:lang w:eastAsia="en-US"/>
        </w:rPr>
        <w:t xml:space="preserve">.  </w:t>
      </w:r>
    </w:p>
    <w:p w:rsidR="008B10EF" w:rsidRPr="008B10EF" w:rsidRDefault="008B10EF" w:rsidP="008B10EF">
      <w:pPr>
        <w:rPr>
          <w:rFonts w:ascii="Calibri" w:eastAsia="Calibri" w:hAnsi="Calibri"/>
          <w:szCs w:val="21"/>
          <w:lang w:eastAsia="en-US"/>
        </w:rPr>
      </w:pPr>
    </w:p>
    <w:p w:rsidR="008B10EF" w:rsidRPr="008B10EF" w:rsidRDefault="008B10EF" w:rsidP="008B10EF">
      <w:pPr>
        <w:rPr>
          <w:rFonts w:ascii="Calibri" w:eastAsia="Calibri" w:hAnsi="Calibri"/>
          <w:szCs w:val="21"/>
          <w:lang w:eastAsia="en-US"/>
        </w:rPr>
      </w:pPr>
      <w:r w:rsidRPr="008B10EF">
        <w:rPr>
          <w:rFonts w:ascii="Calibri" w:eastAsia="Calibri" w:hAnsi="Calibri"/>
          <w:szCs w:val="21"/>
          <w:lang w:eastAsia="en-US"/>
        </w:rPr>
        <w:t xml:space="preserve">We are also concerned that </w:t>
      </w:r>
      <w:r w:rsidRPr="008B10EF">
        <w:rPr>
          <w:rFonts w:ascii="Calibri" w:eastAsia="Calibri" w:hAnsi="Calibri"/>
          <w:szCs w:val="21"/>
          <w:u w:val="single"/>
          <w:lang w:eastAsia="en-US"/>
        </w:rPr>
        <w:t>not</w:t>
      </w:r>
      <w:r w:rsidRPr="008B10EF">
        <w:rPr>
          <w:rFonts w:ascii="Calibri" w:eastAsia="Calibri" w:hAnsi="Calibri"/>
          <w:szCs w:val="21"/>
          <w:lang w:eastAsia="en-US"/>
        </w:rPr>
        <w:t xml:space="preserve"> taking into account the institution’s CD relative to the sector</w:t>
      </w:r>
      <w:r w:rsidR="006269A6">
        <w:rPr>
          <w:rFonts w:ascii="Calibri" w:eastAsia="Calibri" w:hAnsi="Calibri"/>
          <w:szCs w:val="21"/>
          <w:lang w:eastAsia="en-US"/>
        </w:rPr>
        <w:t>’s total CD</w:t>
      </w:r>
      <w:r w:rsidRPr="008B10EF">
        <w:rPr>
          <w:rFonts w:ascii="Calibri" w:eastAsia="Calibri" w:hAnsi="Calibri"/>
          <w:szCs w:val="21"/>
          <w:lang w:eastAsia="en-US"/>
        </w:rPr>
        <w:t xml:space="preserve"> </w:t>
      </w:r>
      <w:r w:rsidR="004232CC">
        <w:rPr>
          <w:rFonts w:ascii="Calibri" w:eastAsia="Calibri" w:hAnsi="Calibri"/>
          <w:szCs w:val="21"/>
          <w:lang w:eastAsia="en-US"/>
        </w:rPr>
        <w:t xml:space="preserve">or the DGS fund’s reserves </w:t>
      </w:r>
      <w:r w:rsidRPr="008B10EF">
        <w:rPr>
          <w:rFonts w:ascii="Calibri" w:eastAsia="Calibri" w:hAnsi="Calibri"/>
          <w:szCs w:val="21"/>
          <w:lang w:eastAsia="en-US"/>
        </w:rPr>
        <w:t>will have the unintended consequence of making it harder for small financial institutions to build capital through earnings retention, and therefore increase the likelihood that these institutions would require assistance from a national DGS fund.</w:t>
      </w:r>
    </w:p>
    <w:p w:rsidR="008B10EF" w:rsidRPr="008B10EF" w:rsidRDefault="008B10EF" w:rsidP="006131B5">
      <w:pPr>
        <w:rPr>
          <w:rFonts w:ascii="Calibri" w:eastAsia="Calibri" w:hAnsi="Calibri"/>
          <w:szCs w:val="21"/>
          <w:lang w:eastAsia="en-US"/>
        </w:rPr>
      </w:pPr>
    </w:p>
    <w:p w:rsidR="0011193B" w:rsidRPr="008B10EF" w:rsidRDefault="0011193B" w:rsidP="006131B5">
      <w:pPr>
        <w:rPr>
          <w:rFonts w:ascii="Calibri" w:eastAsia="Calibri" w:hAnsi="Calibri"/>
          <w:szCs w:val="21"/>
          <w:lang w:eastAsia="en-US"/>
        </w:rPr>
      </w:pPr>
      <w:r w:rsidRPr="008B10EF">
        <w:rPr>
          <w:rFonts w:ascii="Calibri" w:eastAsia="Calibri" w:hAnsi="Calibri"/>
          <w:szCs w:val="21"/>
          <w:lang w:eastAsia="en-US"/>
        </w:rPr>
        <w:t>Specifically, we urge the EBA to consider</w:t>
      </w:r>
      <w:r w:rsidR="008B10EF" w:rsidRPr="008B10EF">
        <w:rPr>
          <w:rFonts w:ascii="Calibri" w:eastAsia="Calibri" w:hAnsi="Calibri"/>
          <w:szCs w:val="21"/>
          <w:lang w:eastAsia="en-US"/>
        </w:rPr>
        <w:t xml:space="preserve"> as a core </w:t>
      </w:r>
      <w:r w:rsidRPr="008B10EF">
        <w:rPr>
          <w:rFonts w:ascii="Calibri" w:eastAsia="Calibri" w:hAnsi="Calibri"/>
          <w:szCs w:val="21"/>
          <w:lang w:eastAsia="en-US"/>
        </w:rPr>
        <w:t>“individual risk indicator”</w:t>
      </w:r>
      <w:r w:rsidR="00974D3F" w:rsidRPr="008B10EF">
        <w:rPr>
          <w:rFonts w:ascii="Calibri" w:eastAsia="Calibri" w:hAnsi="Calibri"/>
          <w:szCs w:val="21"/>
          <w:lang w:eastAsia="en-US"/>
        </w:rPr>
        <w:t xml:space="preserve"> either</w:t>
      </w:r>
      <w:r w:rsidRPr="008B10EF">
        <w:rPr>
          <w:rFonts w:ascii="Calibri" w:eastAsia="Calibri" w:hAnsi="Calibri"/>
          <w:szCs w:val="21"/>
          <w:lang w:eastAsia="en-US"/>
        </w:rPr>
        <w:t xml:space="preserve">: </w:t>
      </w:r>
    </w:p>
    <w:p w:rsidR="0011193B" w:rsidRPr="008B10EF" w:rsidRDefault="0011193B" w:rsidP="006131B5">
      <w:pPr>
        <w:rPr>
          <w:rFonts w:ascii="Calibri" w:eastAsia="Calibri" w:hAnsi="Calibri"/>
          <w:szCs w:val="21"/>
          <w:lang w:eastAsia="en-US"/>
        </w:rPr>
      </w:pPr>
    </w:p>
    <w:p w:rsidR="007A6BA9" w:rsidRDefault="008B10EF" w:rsidP="00F82614">
      <w:pPr>
        <w:ind w:left="720"/>
        <w:rPr>
          <w:rFonts w:ascii="Calibri" w:eastAsia="Calibri" w:hAnsi="Calibri"/>
          <w:szCs w:val="21"/>
          <w:lang w:eastAsia="en-US"/>
        </w:rPr>
      </w:pPr>
      <w:r>
        <w:rPr>
          <w:rFonts w:ascii="Calibri" w:eastAsia="Calibri" w:hAnsi="Calibri"/>
          <w:b/>
          <w:szCs w:val="21"/>
          <w:lang w:eastAsia="en-US"/>
        </w:rPr>
        <w:t>(</w:t>
      </w:r>
      <w:r w:rsidR="00BD1F7E">
        <w:rPr>
          <w:rFonts w:ascii="Calibri" w:eastAsia="Calibri" w:hAnsi="Calibri"/>
          <w:b/>
          <w:szCs w:val="21"/>
          <w:lang w:eastAsia="en-US"/>
        </w:rPr>
        <w:t>i</w:t>
      </w:r>
      <w:r w:rsidR="0011193B" w:rsidRPr="008B10EF">
        <w:rPr>
          <w:rFonts w:ascii="Calibri" w:eastAsia="Calibri" w:hAnsi="Calibri"/>
          <w:b/>
          <w:szCs w:val="21"/>
          <w:lang w:eastAsia="en-US"/>
        </w:rPr>
        <w:t>)</w:t>
      </w:r>
      <w:r w:rsidR="00F54006" w:rsidRPr="008B10EF">
        <w:rPr>
          <w:rFonts w:ascii="Calibri" w:eastAsia="Calibri" w:hAnsi="Calibri"/>
          <w:szCs w:val="21"/>
          <w:lang w:eastAsia="en-US"/>
        </w:rPr>
        <w:t xml:space="preserve"> T</w:t>
      </w:r>
      <w:r w:rsidR="0011193B" w:rsidRPr="008B10EF">
        <w:rPr>
          <w:rFonts w:ascii="Calibri" w:eastAsia="Calibri" w:hAnsi="Calibri"/>
          <w:szCs w:val="21"/>
          <w:lang w:eastAsia="en-US"/>
        </w:rPr>
        <w:t xml:space="preserve">he ratio of </w:t>
      </w:r>
      <w:r w:rsidR="002F192A">
        <w:rPr>
          <w:rFonts w:ascii="Calibri" w:eastAsia="Calibri" w:hAnsi="Calibri"/>
          <w:szCs w:val="21"/>
          <w:lang w:eastAsia="en-US"/>
        </w:rPr>
        <w:t xml:space="preserve">the </w:t>
      </w:r>
      <w:r w:rsidR="0011193B" w:rsidRPr="008B10EF">
        <w:rPr>
          <w:rFonts w:ascii="Calibri" w:eastAsia="Calibri" w:hAnsi="Calibri"/>
          <w:szCs w:val="21"/>
          <w:lang w:eastAsia="en-US"/>
        </w:rPr>
        <w:t>institution’s total CD to the national DGS</w:t>
      </w:r>
      <w:r w:rsidR="002F192A">
        <w:rPr>
          <w:rFonts w:ascii="Calibri" w:eastAsia="Calibri" w:hAnsi="Calibri"/>
          <w:szCs w:val="21"/>
          <w:lang w:eastAsia="en-US"/>
        </w:rPr>
        <w:t xml:space="preserve"> fund</w:t>
      </w:r>
      <w:r w:rsidR="0011193B" w:rsidRPr="008B10EF">
        <w:rPr>
          <w:rFonts w:ascii="Calibri" w:eastAsia="Calibri" w:hAnsi="Calibri"/>
          <w:szCs w:val="21"/>
          <w:lang w:eastAsia="en-US"/>
        </w:rPr>
        <w:t xml:space="preserve">’s aggregate CD exposure </w:t>
      </w:r>
    </w:p>
    <w:p w:rsidR="00974D3F" w:rsidRPr="008B10EF" w:rsidRDefault="0011193B" w:rsidP="00F82614">
      <w:pPr>
        <w:ind w:left="720"/>
        <w:rPr>
          <w:rFonts w:ascii="Calibri" w:eastAsia="Calibri" w:hAnsi="Calibri"/>
          <w:szCs w:val="21"/>
          <w:lang w:eastAsia="en-US"/>
        </w:rPr>
      </w:pPr>
      <w:r w:rsidRPr="008B10EF">
        <w:rPr>
          <w:rFonts w:ascii="Calibri" w:eastAsia="Calibri" w:hAnsi="Calibri"/>
          <w:szCs w:val="21"/>
          <w:lang w:eastAsia="en-US"/>
        </w:rPr>
        <w:t>(</w:t>
      </w:r>
      <w:proofErr w:type="spellStart"/>
      <w:r w:rsidRPr="008B10EF">
        <w:rPr>
          <w:rFonts w:ascii="Calibri" w:eastAsia="Calibri" w:hAnsi="Calibri"/>
          <w:szCs w:val="21"/>
          <w:lang w:eastAsia="en-US"/>
        </w:rPr>
        <w:t>CD</w:t>
      </w:r>
      <w:r w:rsidRPr="008B10EF">
        <w:rPr>
          <w:rFonts w:ascii="Calibri" w:eastAsia="Calibri" w:hAnsi="Calibri"/>
          <w:szCs w:val="21"/>
          <w:vertAlign w:val="subscript"/>
          <w:lang w:eastAsia="en-US"/>
        </w:rPr>
        <w:t>Institution</w:t>
      </w:r>
      <w:proofErr w:type="spellEnd"/>
      <w:r w:rsidRPr="008B10EF">
        <w:rPr>
          <w:rFonts w:ascii="Calibri" w:eastAsia="Calibri" w:hAnsi="Calibri"/>
          <w:szCs w:val="21"/>
          <w:lang w:eastAsia="en-US"/>
        </w:rPr>
        <w:t>/</w:t>
      </w:r>
      <w:proofErr w:type="spellStart"/>
      <w:r w:rsidRPr="008B10EF">
        <w:rPr>
          <w:rFonts w:ascii="Calibri" w:eastAsia="Calibri" w:hAnsi="Calibri"/>
          <w:szCs w:val="21"/>
          <w:lang w:eastAsia="en-US"/>
        </w:rPr>
        <w:t>CD</w:t>
      </w:r>
      <w:r w:rsidRPr="008B10EF">
        <w:rPr>
          <w:rFonts w:ascii="Calibri" w:eastAsia="Calibri" w:hAnsi="Calibri"/>
          <w:szCs w:val="21"/>
          <w:vertAlign w:val="subscript"/>
          <w:lang w:eastAsia="en-US"/>
        </w:rPr>
        <w:t>Member</w:t>
      </w:r>
      <w:proofErr w:type="spellEnd"/>
      <w:r w:rsidRPr="008B10EF">
        <w:rPr>
          <w:rFonts w:ascii="Calibri" w:eastAsia="Calibri" w:hAnsi="Calibri"/>
          <w:szCs w:val="21"/>
          <w:vertAlign w:val="subscript"/>
          <w:lang w:eastAsia="en-US"/>
        </w:rPr>
        <w:t xml:space="preserve"> State Total</w:t>
      </w:r>
      <w:r w:rsidRPr="008B10EF">
        <w:rPr>
          <w:rFonts w:ascii="Calibri" w:eastAsia="Calibri" w:hAnsi="Calibri"/>
          <w:szCs w:val="21"/>
          <w:lang w:eastAsia="en-US"/>
        </w:rPr>
        <w:t xml:space="preserve">); or </w:t>
      </w:r>
    </w:p>
    <w:p w:rsidR="00974D3F" w:rsidRPr="008B10EF" w:rsidRDefault="00974D3F" w:rsidP="00F82614">
      <w:pPr>
        <w:ind w:left="720"/>
        <w:rPr>
          <w:rFonts w:ascii="Calibri" w:eastAsia="Calibri" w:hAnsi="Calibri"/>
          <w:szCs w:val="21"/>
          <w:lang w:eastAsia="en-US"/>
        </w:rPr>
      </w:pPr>
    </w:p>
    <w:p w:rsidR="00974D3F" w:rsidRPr="008B10EF" w:rsidRDefault="008B10EF" w:rsidP="00F82614">
      <w:pPr>
        <w:ind w:left="720"/>
        <w:rPr>
          <w:rFonts w:ascii="Calibri" w:eastAsia="Calibri" w:hAnsi="Calibri"/>
          <w:szCs w:val="21"/>
          <w:lang w:eastAsia="en-US"/>
        </w:rPr>
      </w:pPr>
      <w:r>
        <w:rPr>
          <w:rFonts w:ascii="Calibri" w:eastAsia="Calibri" w:hAnsi="Calibri"/>
          <w:b/>
          <w:szCs w:val="21"/>
          <w:lang w:eastAsia="en-US"/>
        </w:rPr>
        <w:t>(</w:t>
      </w:r>
      <w:r w:rsidR="00BD1F7E">
        <w:rPr>
          <w:rFonts w:ascii="Calibri" w:eastAsia="Calibri" w:hAnsi="Calibri"/>
          <w:b/>
          <w:szCs w:val="21"/>
          <w:lang w:eastAsia="en-US"/>
        </w:rPr>
        <w:t>ii</w:t>
      </w:r>
      <w:r w:rsidR="0011193B" w:rsidRPr="008B10EF">
        <w:rPr>
          <w:rFonts w:ascii="Calibri" w:eastAsia="Calibri" w:hAnsi="Calibri"/>
          <w:b/>
          <w:szCs w:val="21"/>
          <w:lang w:eastAsia="en-US"/>
        </w:rPr>
        <w:t>)</w:t>
      </w:r>
      <w:r w:rsidR="0011193B" w:rsidRPr="008B10EF">
        <w:rPr>
          <w:rFonts w:ascii="Calibri" w:eastAsia="Calibri" w:hAnsi="Calibri"/>
          <w:szCs w:val="21"/>
          <w:lang w:eastAsia="en-US"/>
        </w:rPr>
        <w:t xml:space="preserve"> </w:t>
      </w:r>
      <w:r w:rsidR="00F54006" w:rsidRPr="008B10EF">
        <w:rPr>
          <w:rFonts w:ascii="Calibri" w:eastAsia="Calibri" w:hAnsi="Calibri"/>
          <w:szCs w:val="21"/>
          <w:lang w:eastAsia="en-US"/>
        </w:rPr>
        <w:t>T</w:t>
      </w:r>
      <w:r w:rsidR="0011193B" w:rsidRPr="008B10EF">
        <w:rPr>
          <w:rFonts w:ascii="Calibri" w:eastAsia="Calibri" w:hAnsi="Calibri"/>
          <w:szCs w:val="21"/>
          <w:lang w:eastAsia="en-US"/>
        </w:rPr>
        <w:t xml:space="preserve">he ratio of the institution’s total CD to the total reserves of the national DGS fund </w:t>
      </w:r>
    </w:p>
    <w:p w:rsidR="0011193B" w:rsidRPr="008B10EF" w:rsidRDefault="0011193B" w:rsidP="00F82614">
      <w:pPr>
        <w:ind w:left="720"/>
        <w:rPr>
          <w:rFonts w:ascii="Calibri" w:eastAsia="Calibri" w:hAnsi="Calibri"/>
          <w:szCs w:val="21"/>
          <w:lang w:eastAsia="en-US"/>
        </w:rPr>
      </w:pPr>
      <w:proofErr w:type="gramStart"/>
      <w:r w:rsidRPr="008B10EF">
        <w:rPr>
          <w:rFonts w:ascii="Calibri" w:eastAsia="Calibri" w:hAnsi="Calibri"/>
          <w:szCs w:val="21"/>
          <w:lang w:eastAsia="en-US"/>
        </w:rPr>
        <w:t>(</w:t>
      </w:r>
      <w:proofErr w:type="spellStart"/>
      <w:r w:rsidRPr="008B10EF">
        <w:rPr>
          <w:rFonts w:ascii="Calibri" w:eastAsia="Calibri" w:hAnsi="Calibri"/>
          <w:szCs w:val="21"/>
          <w:lang w:eastAsia="en-US"/>
        </w:rPr>
        <w:t>CD</w:t>
      </w:r>
      <w:r w:rsidRPr="008B10EF">
        <w:rPr>
          <w:rFonts w:ascii="Calibri" w:eastAsia="Calibri" w:hAnsi="Calibri"/>
          <w:szCs w:val="21"/>
          <w:vertAlign w:val="subscript"/>
          <w:lang w:eastAsia="en-US"/>
        </w:rPr>
        <w:t>Institution</w:t>
      </w:r>
      <w:proofErr w:type="spellEnd"/>
      <w:r w:rsidRPr="008B10EF">
        <w:rPr>
          <w:rFonts w:ascii="Calibri" w:eastAsia="Calibri" w:hAnsi="Calibri"/>
          <w:szCs w:val="21"/>
          <w:lang w:eastAsia="en-US"/>
        </w:rPr>
        <w:t>/</w:t>
      </w:r>
      <w:proofErr w:type="spellStart"/>
      <w:r w:rsidRPr="008B10EF">
        <w:rPr>
          <w:rFonts w:ascii="Calibri" w:eastAsia="Calibri" w:hAnsi="Calibri"/>
          <w:szCs w:val="21"/>
          <w:lang w:eastAsia="en-US"/>
        </w:rPr>
        <w:t>DGS</w:t>
      </w:r>
      <w:r w:rsidRPr="008B10EF">
        <w:rPr>
          <w:rFonts w:ascii="Calibri" w:eastAsia="Calibri" w:hAnsi="Calibri"/>
          <w:szCs w:val="21"/>
          <w:vertAlign w:val="subscript"/>
          <w:lang w:eastAsia="en-US"/>
        </w:rPr>
        <w:t>Total</w:t>
      </w:r>
      <w:proofErr w:type="spellEnd"/>
      <w:r w:rsidRPr="008B10EF">
        <w:rPr>
          <w:rFonts w:ascii="Calibri" w:eastAsia="Calibri" w:hAnsi="Calibri"/>
          <w:szCs w:val="21"/>
          <w:vertAlign w:val="subscript"/>
          <w:lang w:eastAsia="en-US"/>
        </w:rPr>
        <w:t xml:space="preserve"> Reserves</w:t>
      </w:r>
      <w:r w:rsidRPr="008B10EF">
        <w:rPr>
          <w:rFonts w:ascii="Calibri" w:eastAsia="Calibri" w:hAnsi="Calibri"/>
          <w:szCs w:val="21"/>
          <w:lang w:eastAsia="en-US"/>
        </w:rPr>
        <w:t>).</w:t>
      </w:r>
      <w:proofErr w:type="gramEnd"/>
    </w:p>
    <w:p w:rsidR="0011193B" w:rsidRPr="008B10EF" w:rsidRDefault="0011193B" w:rsidP="006131B5">
      <w:pPr>
        <w:rPr>
          <w:rFonts w:ascii="Calibri" w:eastAsia="Calibri" w:hAnsi="Calibri"/>
          <w:szCs w:val="21"/>
          <w:lang w:eastAsia="en-US"/>
        </w:rPr>
      </w:pPr>
    </w:p>
    <w:p w:rsidR="008179F2" w:rsidRPr="008B10EF" w:rsidRDefault="008179F2" w:rsidP="008179F2">
      <w:pPr>
        <w:rPr>
          <w:rFonts w:ascii="Calibri" w:eastAsia="Calibri" w:hAnsi="Calibri"/>
          <w:szCs w:val="21"/>
          <w:lang w:eastAsia="en-US"/>
        </w:rPr>
      </w:pPr>
      <w:r w:rsidRPr="008B10EF">
        <w:rPr>
          <w:rFonts w:ascii="Calibri" w:eastAsia="Calibri" w:hAnsi="Calibri"/>
          <w:szCs w:val="21"/>
          <w:lang w:eastAsia="en-US"/>
        </w:rPr>
        <w:lastRenderedPageBreak/>
        <w:t xml:space="preserve">Whereas many European commercial banks individually exceed €20 billion in assets (or even €1 trillion in assets)—meaning that the success or failure of a single </w:t>
      </w:r>
      <w:r w:rsidR="00861C06">
        <w:rPr>
          <w:rFonts w:ascii="Calibri" w:eastAsia="Calibri" w:hAnsi="Calibri"/>
          <w:szCs w:val="21"/>
          <w:lang w:eastAsia="en-US"/>
        </w:rPr>
        <w:t xml:space="preserve">large </w:t>
      </w:r>
      <w:r w:rsidRPr="008B10EF">
        <w:rPr>
          <w:rFonts w:ascii="Calibri" w:eastAsia="Calibri" w:hAnsi="Calibri"/>
          <w:szCs w:val="21"/>
          <w:lang w:eastAsia="en-US"/>
        </w:rPr>
        <w:t>bank could in some cases exhaust the reserves of a national DGS fund—the €20 billion in credit union assets in ENCU-member countries is divided among 928 individual credit unions that each have a separate balance sheet, independent management, and succeed or fail on their own.  Some credit unions systems also operate their own, private-sector Institutional Protection Schemes (IPS) that seek to resolve weak credit unions without governmental action or funding.</w:t>
      </w:r>
    </w:p>
    <w:p w:rsidR="008179F2" w:rsidRDefault="008179F2" w:rsidP="008179F2">
      <w:pPr>
        <w:rPr>
          <w:rFonts w:ascii="Calibri" w:eastAsia="Calibri" w:hAnsi="Calibri"/>
          <w:szCs w:val="21"/>
          <w:lang w:eastAsia="en-US"/>
        </w:rPr>
      </w:pPr>
    </w:p>
    <w:p w:rsidR="00CE2212" w:rsidRPr="008B10EF" w:rsidRDefault="00CE2212" w:rsidP="00CE2212">
      <w:pPr>
        <w:rPr>
          <w:rFonts w:ascii="Calibri" w:eastAsia="Calibri" w:hAnsi="Calibri"/>
          <w:szCs w:val="21"/>
          <w:lang w:eastAsia="en-US"/>
        </w:rPr>
      </w:pPr>
      <w:r w:rsidRPr="008B10EF">
        <w:rPr>
          <w:rFonts w:ascii="Calibri" w:eastAsia="Calibri" w:hAnsi="Calibri"/>
          <w:szCs w:val="21"/>
          <w:lang w:eastAsia="en-US"/>
        </w:rPr>
        <w:t xml:space="preserve">Large banks each individually present a greater risk to the DGS fund than </w:t>
      </w:r>
      <w:r>
        <w:rPr>
          <w:rFonts w:ascii="Calibri" w:eastAsia="Calibri" w:hAnsi="Calibri"/>
          <w:szCs w:val="21"/>
          <w:lang w:eastAsia="en-US"/>
        </w:rPr>
        <w:t>would a similar amount of</w:t>
      </w:r>
      <w:r w:rsidRPr="008B10EF">
        <w:rPr>
          <w:rFonts w:ascii="Calibri" w:eastAsia="Calibri" w:hAnsi="Calibri"/>
          <w:szCs w:val="21"/>
          <w:lang w:eastAsia="en-US"/>
        </w:rPr>
        <w:t xml:space="preserve"> small bank or credit union </w:t>
      </w:r>
      <w:r>
        <w:rPr>
          <w:rFonts w:ascii="Calibri" w:eastAsia="Calibri" w:hAnsi="Calibri"/>
          <w:szCs w:val="21"/>
          <w:lang w:eastAsia="en-US"/>
        </w:rPr>
        <w:t xml:space="preserve">assets </w:t>
      </w:r>
      <w:r w:rsidRPr="008B10EF">
        <w:rPr>
          <w:rFonts w:ascii="Calibri" w:eastAsia="Calibri" w:hAnsi="Calibri"/>
          <w:szCs w:val="21"/>
          <w:lang w:eastAsia="en-US"/>
        </w:rPr>
        <w:t xml:space="preserve">simply because </w:t>
      </w:r>
      <w:r>
        <w:rPr>
          <w:rFonts w:ascii="Calibri" w:eastAsia="Calibri" w:hAnsi="Calibri"/>
          <w:szCs w:val="21"/>
          <w:lang w:eastAsia="en-US"/>
        </w:rPr>
        <w:t>large banks</w:t>
      </w:r>
      <w:r w:rsidRPr="008B10EF">
        <w:rPr>
          <w:rFonts w:ascii="Calibri" w:eastAsia="Calibri" w:hAnsi="Calibri"/>
          <w:szCs w:val="21"/>
          <w:lang w:eastAsia="en-US"/>
        </w:rPr>
        <w:t xml:space="preserve"> have many more CD tied to the success or failure of a single institution, and also because </w:t>
      </w:r>
      <w:r>
        <w:rPr>
          <w:rFonts w:ascii="Calibri" w:eastAsia="Calibri" w:hAnsi="Calibri"/>
          <w:szCs w:val="21"/>
          <w:lang w:eastAsia="en-US"/>
        </w:rPr>
        <w:t>large banks</w:t>
      </w:r>
      <w:r w:rsidRPr="008B10EF">
        <w:rPr>
          <w:rFonts w:ascii="Calibri" w:eastAsia="Calibri" w:hAnsi="Calibri"/>
          <w:szCs w:val="21"/>
          <w:lang w:eastAsia="en-US"/>
        </w:rPr>
        <w:t xml:space="preserve"> typically engage in more complex and risky business activities than small banks and credit unions. Credit unions and smal</w:t>
      </w:r>
      <w:r w:rsidR="00D46EEF">
        <w:rPr>
          <w:rFonts w:ascii="Calibri" w:eastAsia="Calibri" w:hAnsi="Calibri"/>
          <w:szCs w:val="21"/>
          <w:lang w:eastAsia="en-US"/>
        </w:rPr>
        <w:t>l banks primarily engage in low-</w:t>
      </w:r>
      <w:r w:rsidRPr="008B10EF">
        <w:rPr>
          <w:rFonts w:ascii="Calibri" w:eastAsia="Calibri" w:hAnsi="Calibri"/>
          <w:szCs w:val="21"/>
          <w:lang w:eastAsia="en-US"/>
        </w:rPr>
        <w:t xml:space="preserve">risk retail banking activities such as consumer lending and deposit-taking, and do not usually invest in complex financial instruments.  </w:t>
      </w:r>
    </w:p>
    <w:p w:rsidR="00CE2212" w:rsidRPr="008B10EF" w:rsidRDefault="00CE2212" w:rsidP="008179F2">
      <w:pPr>
        <w:rPr>
          <w:rFonts w:ascii="Calibri" w:eastAsia="Calibri" w:hAnsi="Calibri"/>
          <w:szCs w:val="21"/>
          <w:lang w:eastAsia="en-US"/>
        </w:rPr>
      </w:pPr>
    </w:p>
    <w:p w:rsidR="003079C9" w:rsidRDefault="001135B3" w:rsidP="006131B5">
      <w:pPr>
        <w:rPr>
          <w:rFonts w:ascii="Calibri" w:eastAsia="Calibri" w:hAnsi="Calibri"/>
          <w:szCs w:val="21"/>
          <w:lang w:eastAsia="en-US"/>
        </w:rPr>
      </w:pPr>
      <w:r>
        <w:rPr>
          <w:rFonts w:ascii="Calibri" w:eastAsia="Calibri" w:hAnsi="Calibri"/>
          <w:szCs w:val="21"/>
          <w:lang w:eastAsia="en-US"/>
        </w:rPr>
        <w:t>Including the</w:t>
      </w:r>
      <w:r w:rsidR="00974D3F" w:rsidRPr="008B10EF">
        <w:rPr>
          <w:rFonts w:ascii="Calibri" w:eastAsia="Calibri" w:hAnsi="Calibri"/>
          <w:szCs w:val="21"/>
          <w:lang w:eastAsia="en-US"/>
        </w:rPr>
        <w:t xml:space="preserve"> ratio of an institution’s total </w:t>
      </w:r>
      <w:r w:rsidR="006773B5" w:rsidRPr="008B10EF">
        <w:rPr>
          <w:rFonts w:ascii="Calibri" w:eastAsia="Calibri" w:hAnsi="Calibri"/>
          <w:szCs w:val="21"/>
          <w:lang w:eastAsia="en-US"/>
        </w:rPr>
        <w:t>CD relative</w:t>
      </w:r>
      <w:r w:rsidR="00974D3F" w:rsidRPr="008B10EF">
        <w:rPr>
          <w:rFonts w:ascii="Calibri" w:eastAsia="Calibri" w:hAnsi="Calibri"/>
          <w:szCs w:val="21"/>
          <w:lang w:eastAsia="en-US"/>
        </w:rPr>
        <w:t xml:space="preserve"> to the DGS’s total CD exposure or total reserves</w:t>
      </w:r>
      <w:r w:rsidR="008179F2" w:rsidRPr="008B10EF">
        <w:rPr>
          <w:rFonts w:ascii="Calibri" w:eastAsia="Calibri" w:hAnsi="Calibri"/>
          <w:szCs w:val="21"/>
          <w:lang w:eastAsia="en-US"/>
        </w:rPr>
        <w:t xml:space="preserve"> </w:t>
      </w:r>
      <w:r>
        <w:rPr>
          <w:rFonts w:ascii="Calibri" w:eastAsia="Calibri" w:hAnsi="Calibri"/>
          <w:szCs w:val="21"/>
          <w:lang w:eastAsia="en-US"/>
        </w:rPr>
        <w:t xml:space="preserve">as a core risk factor </w:t>
      </w:r>
      <w:r w:rsidR="006131B5" w:rsidRPr="008B10EF">
        <w:rPr>
          <w:rFonts w:ascii="Calibri" w:eastAsia="Calibri" w:hAnsi="Calibri"/>
          <w:szCs w:val="21"/>
          <w:lang w:eastAsia="en-US"/>
        </w:rPr>
        <w:t xml:space="preserve">will </w:t>
      </w:r>
      <w:r w:rsidR="008179F2" w:rsidRPr="008B10EF">
        <w:rPr>
          <w:rFonts w:ascii="Calibri" w:eastAsia="Calibri" w:hAnsi="Calibri"/>
          <w:szCs w:val="21"/>
          <w:lang w:eastAsia="en-US"/>
        </w:rPr>
        <w:t xml:space="preserve">also </w:t>
      </w:r>
      <w:r w:rsidR="006131B5" w:rsidRPr="008B10EF">
        <w:rPr>
          <w:rFonts w:ascii="Calibri" w:eastAsia="Calibri" w:hAnsi="Calibri"/>
          <w:szCs w:val="21"/>
          <w:lang w:eastAsia="en-US"/>
        </w:rPr>
        <w:t xml:space="preserve">help </w:t>
      </w:r>
      <w:r>
        <w:rPr>
          <w:rFonts w:ascii="Calibri" w:eastAsia="Calibri" w:hAnsi="Calibri"/>
          <w:szCs w:val="21"/>
          <w:lang w:eastAsia="en-US"/>
        </w:rPr>
        <w:t>credit unions and other</w:t>
      </w:r>
      <w:r w:rsidR="006131B5" w:rsidRPr="008B10EF">
        <w:rPr>
          <w:rFonts w:ascii="Calibri" w:eastAsia="Calibri" w:hAnsi="Calibri"/>
          <w:szCs w:val="21"/>
          <w:lang w:eastAsia="en-US"/>
        </w:rPr>
        <w:t xml:space="preserve"> small institutions build retained earnings in order to protect the DGS scheme from losses. As cooperatives, credit unions must build their regulatory reserves using retained earnings and have few other avenues for building regulatory capital.</w:t>
      </w:r>
      <w:r w:rsidR="006131B5" w:rsidRPr="008B10EF">
        <w:rPr>
          <w:rStyle w:val="FootnoteReference"/>
          <w:rFonts w:ascii="Calibri" w:eastAsia="Calibri" w:hAnsi="Calibri"/>
          <w:szCs w:val="21"/>
          <w:lang w:eastAsia="en-US"/>
        </w:rPr>
        <w:footnoteReference w:id="5"/>
      </w:r>
      <w:r w:rsidR="006131B5" w:rsidRPr="008B10EF">
        <w:rPr>
          <w:rFonts w:ascii="Calibri" w:eastAsia="Calibri" w:hAnsi="Calibri"/>
          <w:szCs w:val="21"/>
          <w:lang w:eastAsia="en-US"/>
        </w:rPr>
        <w:t xml:space="preserve">  </w:t>
      </w:r>
    </w:p>
    <w:p w:rsidR="003079C9" w:rsidRDefault="003079C9" w:rsidP="006131B5">
      <w:pPr>
        <w:rPr>
          <w:rFonts w:ascii="Calibri" w:eastAsia="Calibri" w:hAnsi="Calibri"/>
          <w:szCs w:val="21"/>
          <w:lang w:eastAsia="en-US"/>
        </w:rPr>
      </w:pPr>
    </w:p>
    <w:p w:rsidR="006131B5" w:rsidRPr="008B10EF" w:rsidRDefault="003079C9" w:rsidP="006131B5">
      <w:pPr>
        <w:rPr>
          <w:rFonts w:ascii="Calibri" w:eastAsia="Calibri" w:hAnsi="Calibri"/>
          <w:szCs w:val="21"/>
          <w:lang w:eastAsia="en-US"/>
        </w:rPr>
      </w:pPr>
      <w:r w:rsidRPr="008B10EF">
        <w:rPr>
          <w:rFonts w:ascii="Calibri" w:eastAsia="Calibri" w:hAnsi="Calibri"/>
          <w:szCs w:val="21"/>
          <w:lang w:eastAsia="en-US"/>
        </w:rPr>
        <w:t>DGS levies themselves should not undermine the financial stability of any firm as this would be counter-productive to the financial stability aim of the DGS and self-defeating in terms of protecting DGS</w:t>
      </w:r>
      <w:r>
        <w:rPr>
          <w:rFonts w:ascii="Calibri" w:eastAsia="Calibri" w:hAnsi="Calibri"/>
          <w:szCs w:val="21"/>
          <w:lang w:eastAsia="en-US"/>
        </w:rPr>
        <w:t xml:space="preserve"> funds</w:t>
      </w:r>
      <w:r w:rsidRPr="008B10EF">
        <w:rPr>
          <w:rFonts w:ascii="Calibri" w:eastAsia="Calibri" w:hAnsi="Calibri"/>
          <w:szCs w:val="21"/>
          <w:lang w:eastAsia="en-US"/>
        </w:rPr>
        <w:t xml:space="preserve">.  </w:t>
      </w:r>
      <w:r w:rsidR="009D7CFF">
        <w:rPr>
          <w:rFonts w:ascii="Calibri" w:eastAsia="Calibri" w:hAnsi="Calibri"/>
          <w:szCs w:val="21"/>
          <w:lang w:eastAsia="en-US"/>
        </w:rPr>
        <w:t>T</w:t>
      </w:r>
      <w:r w:rsidR="006131B5" w:rsidRPr="008B10EF">
        <w:rPr>
          <w:rFonts w:ascii="Calibri" w:eastAsia="Calibri" w:hAnsi="Calibri"/>
          <w:szCs w:val="21"/>
          <w:lang w:eastAsia="en-US"/>
        </w:rPr>
        <w:t xml:space="preserve">he moneys credit unions would pay in DGS levies would likely otherwise be added to these institutions’ regulatory capital as retained earnings and be used to protect the DGS scheme at the institutional level by lowering the institution’s risk of failure. </w:t>
      </w:r>
      <w:r w:rsidR="007D100B">
        <w:rPr>
          <w:rFonts w:ascii="Calibri" w:eastAsia="Calibri" w:hAnsi="Calibri"/>
          <w:szCs w:val="21"/>
          <w:lang w:eastAsia="en-US"/>
        </w:rPr>
        <w:t>In addition, l</w:t>
      </w:r>
      <w:r w:rsidR="006131B5" w:rsidRPr="008B10EF">
        <w:rPr>
          <w:rFonts w:ascii="Calibri" w:eastAsia="Calibri" w:hAnsi="Calibri"/>
          <w:szCs w:val="21"/>
          <w:lang w:eastAsia="en-US"/>
        </w:rPr>
        <w:t xml:space="preserve">arge banks are better able to afford DGS levies compared to credit unions because of the banks’ larger economies of scale.  </w:t>
      </w:r>
    </w:p>
    <w:p w:rsidR="006131B5" w:rsidRPr="008B10EF" w:rsidRDefault="006131B5" w:rsidP="006131B5">
      <w:pPr>
        <w:rPr>
          <w:rFonts w:ascii="Calibri" w:eastAsia="Calibri" w:hAnsi="Calibri"/>
          <w:szCs w:val="21"/>
          <w:lang w:eastAsia="en-US"/>
        </w:rPr>
      </w:pPr>
    </w:p>
    <w:p w:rsidR="00FD64C0" w:rsidRDefault="006131B5" w:rsidP="006131B5">
      <w:pPr>
        <w:rPr>
          <w:rFonts w:ascii="Calibri" w:eastAsia="Calibri" w:hAnsi="Calibri"/>
          <w:szCs w:val="21"/>
          <w:lang w:eastAsia="en-US"/>
        </w:rPr>
      </w:pPr>
      <w:r w:rsidRPr="008B10EF">
        <w:rPr>
          <w:rFonts w:ascii="Calibri" w:eastAsia="Calibri" w:hAnsi="Calibri"/>
          <w:szCs w:val="21"/>
          <w:lang w:eastAsia="en-US"/>
        </w:rPr>
        <w:t xml:space="preserve">A tiered DGS levy system with higher marginal rates for larger institutions is also appropriate because small financial institutions often promote financial inclusion in </w:t>
      </w:r>
      <w:r w:rsidR="005C3FB3">
        <w:rPr>
          <w:rFonts w:ascii="Calibri" w:eastAsia="Calibri" w:hAnsi="Calibri"/>
          <w:szCs w:val="21"/>
          <w:lang w:eastAsia="en-US"/>
        </w:rPr>
        <w:t xml:space="preserve">underserved </w:t>
      </w:r>
      <w:r w:rsidRPr="008B10EF">
        <w:rPr>
          <w:rFonts w:ascii="Calibri" w:eastAsia="Calibri" w:hAnsi="Calibri"/>
          <w:szCs w:val="21"/>
          <w:lang w:eastAsia="en-US"/>
        </w:rPr>
        <w:t>part</w:t>
      </w:r>
      <w:r w:rsidR="005C3FB3">
        <w:rPr>
          <w:rFonts w:ascii="Calibri" w:eastAsia="Calibri" w:hAnsi="Calibri"/>
          <w:szCs w:val="21"/>
          <w:lang w:eastAsia="en-US"/>
        </w:rPr>
        <w:t>s</w:t>
      </w:r>
      <w:r w:rsidRPr="008B10EF">
        <w:rPr>
          <w:rFonts w:ascii="Calibri" w:eastAsia="Calibri" w:hAnsi="Calibri"/>
          <w:szCs w:val="21"/>
          <w:lang w:eastAsia="en-US"/>
        </w:rPr>
        <w:t xml:space="preserve"> of Europe, especially rural areas. Credit unions are often the only financial institutions operating in rural areas because serving these parts of Europe are often not sufficiently profitable for </w:t>
      </w:r>
      <w:r w:rsidR="00057C30">
        <w:rPr>
          <w:rFonts w:ascii="Calibri" w:eastAsia="Calibri" w:hAnsi="Calibri"/>
          <w:szCs w:val="21"/>
          <w:lang w:eastAsia="en-US"/>
        </w:rPr>
        <w:t>most</w:t>
      </w:r>
      <w:r w:rsidRPr="008B10EF">
        <w:rPr>
          <w:rFonts w:ascii="Calibri" w:eastAsia="Calibri" w:hAnsi="Calibri"/>
          <w:szCs w:val="21"/>
          <w:lang w:eastAsia="en-US"/>
        </w:rPr>
        <w:t xml:space="preserve"> banks, and without the credit union many rural communities would have no local access to financial services.</w:t>
      </w:r>
      <w:r w:rsidR="00FD64C0">
        <w:rPr>
          <w:rFonts w:ascii="Calibri" w:eastAsia="Calibri" w:hAnsi="Calibri"/>
          <w:szCs w:val="21"/>
          <w:lang w:eastAsia="en-US"/>
        </w:rPr>
        <w:t xml:space="preserve"> </w:t>
      </w:r>
    </w:p>
    <w:p w:rsidR="00FD64C0" w:rsidRDefault="00FD64C0" w:rsidP="006131B5">
      <w:pPr>
        <w:rPr>
          <w:rFonts w:ascii="Calibri" w:eastAsia="Calibri" w:hAnsi="Calibri"/>
          <w:szCs w:val="21"/>
          <w:lang w:eastAsia="en-US"/>
        </w:rPr>
      </w:pPr>
    </w:p>
    <w:p w:rsidR="006131B5" w:rsidRPr="008B10EF" w:rsidRDefault="00FD64C0" w:rsidP="006131B5">
      <w:pPr>
        <w:rPr>
          <w:rFonts w:ascii="Calibri" w:eastAsia="Calibri" w:hAnsi="Calibri"/>
          <w:szCs w:val="21"/>
          <w:lang w:eastAsia="en-US"/>
        </w:rPr>
      </w:pPr>
      <w:r w:rsidRPr="008B10EF">
        <w:rPr>
          <w:rFonts w:ascii="Calibri" w:eastAsia="Calibri" w:hAnsi="Calibri"/>
          <w:szCs w:val="21"/>
          <w:lang w:eastAsia="en-US"/>
        </w:rPr>
        <w:t xml:space="preserve">We urge the EBA to establish a DGS levy system that takes into account the value of an institution’s CD relative to the DGS funds’ total CD liabilities or total reserves.  </w:t>
      </w:r>
    </w:p>
    <w:p w:rsidR="006131B5" w:rsidRPr="008B10EF" w:rsidRDefault="006131B5" w:rsidP="006131B5">
      <w:pPr>
        <w:rPr>
          <w:rFonts w:ascii="Calibri" w:eastAsia="Calibri" w:hAnsi="Calibri"/>
          <w:szCs w:val="21"/>
          <w:lang w:eastAsia="en-US"/>
        </w:rPr>
      </w:pPr>
    </w:p>
    <w:p w:rsidR="006131B5" w:rsidRDefault="00F029D7" w:rsidP="003019A5">
      <w:pPr>
        <w:jc w:val="both"/>
        <w:rPr>
          <w:rFonts w:asciiTheme="minorHAnsi" w:hAnsiTheme="minorHAnsi"/>
        </w:rPr>
      </w:pPr>
      <w:r>
        <w:rPr>
          <w:rFonts w:asciiTheme="minorHAnsi" w:hAnsiTheme="minorHAnsi"/>
          <w:u w:val="single"/>
        </w:rPr>
        <w:t>b</w:t>
      </w:r>
      <w:r w:rsidR="00BD1F7E">
        <w:rPr>
          <w:rFonts w:asciiTheme="minorHAnsi" w:hAnsiTheme="minorHAnsi"/>
          <w:u w:val="single"/>
        </w:rPr>
        <w:t>. Return on Assets (</w:t>
      </w:r>
      <w:proofErr w:type="spellStart"/>
      <w:r w:rsidR="00BD1F7E">
        <w:rPr>
          <w:rFonts w:asciiTheme="minorHAnsi" w:hAnsiTheme="minorHAnsi"/>
          <w:u w:val="single"/>
        </w:rPr>
        <w:t>Ro</w:t>
      </w:r>
      <w:r w:rsidR="008B10EF">
        <w:rPr>
          <w:rFonts w:asciiTheme="minorHAnsi" w:hAnsiTheme="minorHAnsi"/>
          <w:u w:val="single"/>
        </w:rPr>
        <w:t>A</w:t>
      </w:r>
      <w:proofErr w:type="spellEnd"/>
      <w:r w:rsidR="008B10EF">
        <w:rPr>
          <w:rFonts w:asciiTheme="minorHAnsi" w:hAnsiTheme="minorHAnsi"/>
          <w:u w:val="single"/>
        </w:rPr>
        <w:t>)</w:t>
      </w:r>
      <w:r w:rsidR="000A6A14">
        <w:rPr>
          <w:rFonts w:asciiTheme="minorHAnsi" w:hAnsiTheme="minorHAnsi"/>
          <w:u w:val="single"/>
        </w:rPr>
        <w:t xml:space="preserve"> versus additions to retained earnings</w:t>
      </w:r>
    </w:p>
    <w:p w:rsidR="008B10EF" w:rsidRDefault="008B10EF" w:rsidP="003019A5">
      <w:pPr>
        <w:jc w:val="both"/>
        <w:rPr>
          <w:rFonts w:asciiTheme="minorHAnsi" w:hAnsiTheme="minorHAnsi"/>
        </w:rPr>
      </w:pPr>
    </w:p>
    <w:p w:rsidR="00F76AF1" w:rsidRDefault="00BD1F7E" w:rsidP="00BD1F7E">
      <w:pPr>
        <w:jc w:val="both"/>
        <w:rPr>
          <w:rFonts w:asciiTheme="minorHAnsi" w:hAnsiTheme="minorHAnsi"/>
        </w:rPr>
      </w:pPr>
      <w:r>
        <w:rPr>
          <w:rFonts w:asciiTheme="minorHAnsi" w:hAnsiTheme="minorHAnsi"/>
        </w:rPr>
        <w:t>We do not support the use of Return on Assets (</w:t>
      </w:r>
      <w:proofErr w:type="spellStart"/>
      <w:r>
        <w:rPr>
          <w:rFonts w:asciiTheme="minorHAnsi" w:hAnsiTheme="minorHAnsi"/>
        </w:rPr>
        <w:t>RoA</w:t>
      </w:r>
      <w:proofErr w:type="spellEnd"/>
      <w:r>
        <w:rPr>
          <w:rFonts w:asciiTheme="minorHAnsi" w:hAnsiTheme="minorHAnsi"/>
        </w:rPr>
        <w:t xml:space="preserve">) as a core </w:t>
      </w:r>
      <w:r w:rsidR="00867BA2">
        <w:rPr>
          <w:rFonts w:asciiTheme="minorHAnsi" w:hAnsiTheme="minorHAnsi"/>
        </w:rPr>
        <w:t xml:space="preserve">individual risk indicator because credit unions, as not-for-profit cooperatives, do not seek to maximise </w:t>
      </w:r>
      <w:proofErr w:type="spellStart"/>
      <w:r w:rsidR="00867BA2">
        <w:rPr>
          <w:rFonts w:asciiTheme="minorHAnsi" w:hAnsiTheme="minorHAnsi"/>
        </w:rPr>
        <w:t>RoA</w:t>
      </w:r>
      <w:proofErr w:type="spellEnd"/>
      <w:r w:rsidR="00867BA2">
        <w:rPr>
          <w:rFonts w:asciiTheme="minorHAnsi" w:hAnsiTheme="minorHAnsi"/>
        </w:rPr>
        <w:t xml:space="preserve"> and generally have lower </w:t>
      </w:r>
      <w:proofErr w:type="spellStart"/>
      <w:r w:rsidR="00867BA2">
        <w:rPr>
          <w:rFonts w:asciiTheme="minorHAnsi" w:hAnsiTheme="minorHAnsi"/>
        </w:rPr>
        <w:t>RoAs</w:t>
      </w:r>
      <w:proofErr w:type="spellEnd"/>
      <w:r w:rsidR="00867BA2">
        <w:rPr>
          <w:rFonts w:asciiTheme="minorHAnsi" w:hAnsiTheme="minorHAnsi"/>
        </w:rPr>
        <w:t xml:space="preserve"> than large banks because of their </w:t>
      </w:r>
      <w:r w:rsidR="00B0626A">
        <w:rPr>
          <w:rFonts w:asciiTheme="minorHAnsi" w:hAnsiTheme="minorHAnsi"/>
        </w:rPr>
        <w:t>financial inclusion</w:t>
      </w:r>
      <w:r w:rsidR="00867BA2">
        <w:rPr>
          <w:rFonts w:asciiTheme="minorHAnsi" w:hAnsiTheme="minorHAnsi"/>
        </w:rPr>
        <w:t xml:space="preserve"> mission and their smaller economies of scale.  </w:t>
      </w:r>
      <w:r w:rsidR="00CA148D">
        <w:rPr>
          <w:rFonts w:asciiTheme="minorHAnsi" w:hAnsiTheme="minorHAnsi"/>
        </w:rPr>
        <w:t xml:space="preserve">A high </w:t>
      </w:r>
      <w:proofErr w:type="spellStart"/>
      <w:r w:rsidR="00CA148D">
        <w:rPr>
          <w:rFonts w:asciiTheme="minorHAnsi" w:hAnsiTheme="minorHAnsi"/>
        </w:rPr>
        <w:t>RoA</w:t>
      </w:r>
      <w:proofErr w:type="spellEnd"/>
      <w:r w:rsidR="00CA148D">
        <w:rPr>
          <w:rFonts w:asciiTheme="minorHAnsi" w:hAnsiTheme="minorHAnsi"/>
        </w:rPr>
        <w:t xml:space="preserve"> is also only relevant to safety and soundness if the institution’s net income is added to its retained earnings.  </w:t>
      </w:r>
      <w:r w:rsidR="005911AC">
        <w:rPr>
          <w:rFonts w:asciiTheme="minorHAnsi" w:hAnsiTheme="minorHAnsi"/>
        </w:rPr>
        <w:t>We think that a better measure of how the institution’s income affects its risk to a DGS fund would be the ratio of the institution’s additions to retained earnings relative to its total assets</w:t>
      </w:r>
      <w:r w:rsidR="005911AC">
        <w:rPr>
          <w:rFonts w:asciiTheme="minorHAnsi" w:hAnsiTheme="minorHAnsi"/>
        </w:rPr>
        <w:t>.</w:t>
      </w:r>
    </w:p>
    <w:p w:rsidR="00F76AF1" w:rsidRDefault="00F76AF1" w:rsidP="00BD1F7E">
      <w:pPr>
        <w:jc w:val="both"/>
        <w:rPr>
          <w:rFonts w:asciiTheme="minorHAnsi" w:hAnsiTheme="minorHAnsi"/>
        </w:rPr>
      </w:pPr>
    </w:p>
    <w:p w:rsidR="006B0474" w:rsidRDefault="00362A58" w:rsidP="00362A58">
      <w:pPr>
        <w:jc w:val="both"/>
        <w:rPr>
          <w:rFonts w:asciiTheme="minorHAnsi" w:hAnsiTheme="minorHAnsi"/>
        </w:rPr>
      </w:pPr>
      <w:r w:rsidRPr="008B10EF">
        <w:rPr>
          <w:rFonts w:asciiTheme="minorHAnsi" w:hAnsiTheme="minorHAnsi"/>
        </w:rPr>
        <w:t xml:space="preserve">The use of </w:t>
      </w:r>
      <w:proofErr w:type="spellStart"/>
      <w:r>
        <w:rPr>
          <w:rFonts w:asciiTheme="minorHAnsi" w:hAnsiTheme="minorHAnsi"/>
        </w:rPr>
        <w:t>RoA</w:t>
      </w:r>
      <w:proofErr w:type="spellEnd"/>
      <w:r w:rsidRPr="008B10EF">
        <w:rPr>
          <w:rFonts w:asciiTheme="minorHAnsi" w:hAnsiTheme="minorHAnsi"/>
        </w:rPr>
        <w:t xml:space="preserve"> </w:t>
      </w:r>
      <w:r>
        <w:rPr>
          <w:rFonts w:asciiTheme="minorHAnsi" w:hAnsiTheme="minorHAnsi"/>
        </w:rPr>
        <w:t>as a risk measure c</w:t>
      </w:r>
      <w:r w:rsidRPr="008B10EF">
        <w:rPr>
          <w:rFonts w:asciiTheme="minorHAnsi" w:hAnsiTheme="minorHAnsi"/>
        </w:rPr>
        <w:t xml:space="preserve">ould </w:t>
      </w:r>
      <w:r>
        <w:rPr>
          <w:rFonts w:asciiTheme="minorHAnsi" w:hAnsiTheme="minorHAnsi"/>
        </w:rPr>
        <w:t xml:space="preserve">make credit unions appear more risky </w:t>
      </w:r>
      <w:r w:rsidR="005772ED">
        <w:rPr>
          <w:rFonts w:asciiTheme="minorHAnsi" w:hAnsiTheme="minorHAnsi"/>
        </w:rPr>
        <w:t xml:space="preserve">than they are objectively </w:t>
      </w:r>
      <w:r>
        <w:rPr>
          <w:rFonts w:asciiTheme="minorHAnsi" w:hAnsiTheme="minorHAnsi"/>
        </w:rPr>
        <w:t xml:space="preserve">simply because </w:t>
      </w:r>
      <w:r w:rsidR="004B0EB0">
        <w:rPr>
          <w:rFonts w:asciiTheme="minorHAnsi" w:hAnsiTheme="minorHAnsi"/>
        </w:rPr>
        <w:t>credit unions’</w:t>
      </w:r>
      <w:r>
        <w:rPr>
          <w:rFonts w:asciiTheme="minorHAnsi" w:hAnsiTheme="minorHAnsi"/>
        </w:rPr>
        <w:t xml:space="preserve"> mission is to serve their members (since a credit union can only do business with its members, who also are the credit union’s owners) and because they do not seek to maximise profits at </w:t>
      </w:r>
      <w:r>
        <w:rPr>
          <w:rFonts w:asciiTheme="minorHAnsi" w:hAnsiTheme="minorHAnsi"/>
        </w:rPr>
        <w:lastRenderedPageBreak/>
        <w:t>consumers’ expense</w:t>
      </w:r>
      <w:r w:rsidRPr="008B10EF">
        <w:rPr>
          <w:rFonts w:asciiTheme="minorHAnsi" w:hAnsiTheme="minorHAnsi"/>
        </w:rPr>
        <w:t>.</w:t>
      </w:r>
      <w:r>
        <w:rPr>
          <w:rFonts w:asciiTheme="minorHAnsi" w:hAnsiTheme="minorHAnsi"/>
        </w:rPr>
        <w:t xml:space="preserve">  Small financial institutions like credit unions can also face challenges in achieving a high </w:t>
      </w:r>
      <w:proofErr w:type="spellStart"/>
      <w:r>
        <w:rPr>
          <w:rFonts w:asciiTheme="minorHAnsi" w:hAnsiTheme="minorHAnsi"/>
        </w:rPr>
        <w:t>RoA</w:t>
      </w:r>
      <w:proofErr w:type="spellEnd"/>
      <w:r>
        <w:rPr>
          <w:rFonts w:asciiTheme="minorHAnsi" w:hAnsiTheme="minorHAnsi"/>
        </w:rPr>
        <w:t xml:space="preserve"> because of their smaller economies of scale and relatively higher expenses for personnel costs and real estate compared to other expenses (e.g., every credit union must have at least one compliance officer and branch office regardless of its asset size). </w:t>
      </w:r>
      <w:r w:rsidR="006B0474">
        <w:rPr>
          <w:rFonts w:asciiTheme="minorHAnsi" w:hAnsiTheme="minorHAnsi"/>
        </w:rPr>
        <w:t xml:space="preserve"> </w:t>
      </w:r>
    </w:p>
    <w:p w:rsidR="003F7894" w:rsidRDefault="003F7894" w:rsidP="00362A58">
      <w:pPr>
        <w:jc w:val="both"/>
        <w:rPr>
          <w:rFonts w:asciiTheme="minorHAnsi" w:hAnsiTheme="minorHAnsi"/>
        </w:rPr>
      </w:pPr>
    </w:p>
    <w:p w:rsidR="00362A58" w:rsidRPr="006B0474" w:rsidRDefault="006B0474" w:rsidP="00362A58">
      <w:pPr>
        <w:jc w:val="both"/>
        <w:rPr>
          <w:rFonts w:ascii="Calibri" w:eastAsia="Calibri" w:hAnsi="Calibri"/>
          <w:szCs w:val="21"/>
          <w:lang w:eastAsia="en-US"/>
        </w:rPr>
      </w:pPr>
      <w:r>
        <w:rPr>
          <w:rFonts w:asciiTheme="minorHAnsi" w:hAnsiTheme="minorHAnsi"/>
        </w:rPr>
        <w:t xml:space="preserve">Credit union </w:t>
      </w:r>
      <w:r w:rsidR="00A41EA9">
        <w:rPr>
          <w:rFonts w:asciiTheme="minorHAnsi" w:hAnsiTheme="minorHAnsi"/>
        </w:rPr>
        <w:t>rulebooks also</w:t>
      </w:r>
      <w:r>
        <w:rPr>
          <w:rFonts w:asciiTheme="minorHAnsi" w:hAnsiTheme="minorHAnsi"/>
        </w:rPr>
        <w:t xml:space="preserve"> play a role in limiting credit unions’ </w:t>
      </w:r>
      <w:proofErr w:type="spellStart"/>
      <w:r>
        <w:rPr>
          <w:rFonts w:asciiTheme="minorHAnsi" w:hAnsiTheme="minorHAnsi"/>
        </w:rPr>
        <w:t>RoA</w:t>
      </w:r>
      <w:proofErr w:type="spellEnd"/>
      <w:r w:rsidR="00C9796B">
        <w:rPr>
          <w:rFonts w:asciiTheme="minorHAnsi" w:hAnsiTheme="minorHAnsi"/>
        </w:rPr>
        <w:t xml:space="preserve"> in ways not faced by banks</w:t>
      </w:r>
      <w:r>
        <w:rPr>
          <w:rFonts w:asciiTheme="minorHAnsi" w:hAnsiTheme="minorHAnsi"/>
        </w:rPr>
        <w:t xml:space="preserve">.  For example, </w:t>
      </w:r>
      <w:r>
        <w:rPr>
          <w:rFonts w:ascii="Calibri" w:eastAsia="Calibri" w:hAnsi="Calibri"/>
          <w:szCs w:val="21"/>
          <w:lang w:eastAsia="en-US"/>
        </w:rPr>
        <w:t>c</w:t>
      </w:r>
      <w:r>
        <w:rPr>
          <w:rFonts w:ascii="Calibri" w:eastAsia="Calibri" w:hAnsi="Calibri"/>
          <w:szCs w:val="21"/>
          <w:lang w:eastAsia="en-US"/>
        </w:rPr>
        <w:t xml:space="preserve">redit union rulebooks </w:t>
      </w:r>
      <w:r w:rsidR="00AF1E6A">
        <w:rPr>
          <w:rFonts w:ascii="Calibri" w:eastAsia="Calibri" w:hAnsi="Calibri"/>
          <w:szCs w:val="21"/>
          <w:lang w:eastAsia="en-US"/>
        </w:rPr>
        <w:t>often</w:t>
      </w:r>
      <w:r>
        <w:rPr>
          <w:rFonts w:ascii="Calibri" w:eastAsia="Calibri" w:hAnsi="Calibri"/>
          <w:szCs w:val="21"/>
          <w:lang w:eastAsia="en-US"/>
        </w:rPr>
        <w:t xml:space="preserve"> include caps on the interest rates credit unions can charge</w:t>
      </w:r>
      <w:r w:rsidR="00467677">
        <w:rPr>
          <w:rFonts w:ascii="Calibri" w:eastAsia="Calibri" w:hAnsi="Calibri"/>
          <w:szCs w:val="21"/>
          <w:lang w:eastAsia="en-US"/>
        </w:rPr>
        <w:t xml:space="preserve"> (such as no more than </w:t>
      </w:r>
      <w:r w:rsidR="00CD474F">
        <w:rPr>
          <w:rFonts w:ascii="Calibri" w:eastAsia="Calibri" w:hAnsi="Calibri"/>
          <w:szCs w:val="21"/>
          <w:lang w:eastAsia="en-US"/>
        </w:rPr>
        <w:t xml:space="preserve">a maximum </w:t>
      </w:r>
      <w:r w:rsidR="004522E7">
        <w:rPr>
          <w:rFonts w:ascii="Calibri" w:eastAsia="Calibri" w:hAnsi="Calibri"/>
          <w:szCs w:val="21"/>
          <w:lang w:eastAsia="en-US"/>
        </w:rPr>
        <w:t>three</w:t>
      </w:r>
      <w:r w:rsidR="00467677">
        <w:rPr>
          <w:rFonts w:ascii="Calibri" w:eastAsia="Calibri" w:hAnsi="Calibri"/>
          <w:szCs w:val="21"/>
          <w:lang w:eastAsia="en-US"/>
        </w:rPr>
        <w:t xml:space="preserve"> percent interest per month)</w:t>
      </w:r>
      <w:r>
        <w:rPr>
          <w:rFonts w:ascii="Calibri" w:eastAsia="Calibri" w:hAnsi="Calibri"/>
          <w:szCs w:val="21"/>
          <w:lang w:eastAsia="en-US"/>
        </w:rPr>
        <w:t>, and</w:t>
      </w:r>
      <w:r>
        <w:rPr>
          <w:rFonts w:ascii="Calibri" w:eastAsia="Calibri" w:hAnsi="Calibri"/>
          <w:szCs w:val="21"/>
          <w:lang w:eastAsia="en-US"/>
        </w:rPr>
        <w:t xml:space="preserve"> </w:t>
      </w:r>
      <w:r>
        <w:rPr>
          <w:rFonts w:asciiTheme="minorHAnsi" w:hAnsiTheme="minorHAnsi"/>
        </w:rPr>
        <w:t>c</w:t>
      </w:r>
      <w:r>
        <w:rPr>
          <w:rFonts w:ascii="Calibri" w:eastAsia="Calibri" w:hAnsi="Calibri"/>
          <w:szCs w:val="21"/>
          <w:lang w:eastAsia="en-US"/>
        </w:rPr>
        <w:t>redit unions face restrictions on with whom they can do business in the form of “common bond of association” laws.</w:t>
      </w:r>
      <w:r>
        <w:rPr>
          <w:rStyle w:val="FootnoteReference"/>
          <w:rFonts w:ascii="Calibri" w:eastAsia="Calibri" w:hAnsi="Calibri"/>
          <w:szCs w:val="21"/>
          <w:lang w:eastAsia="en-US"/>
        </w:rPr>
        <w:footnoteReference w:id="6"/>
      </w:r>
      <w:r>
        <w:rPr>
          <w:rFonts w:ascii="Calibri" w:eastAsia="Calibri" w:hAnsi="Calibri"/>
          <w:szCs w:val="21"/>
          <w:lang w:eastAsia="en-US"/>
        </w:rPr>
        <w:t xml:space="preserve">   These laws typically limit who can join the credit union to persons who live or work in a local geographic area (such as one or more towns or cities) or who are members of a particular association or employees of a particular government agency or business. </w:t>
      </w:r>
      <w:r>
        <w:rPr>
          <w:rFonts w:ascii="Calibri" w:eastAsia="Calibri" w:hAnsi="Calibri"/>
          <w:szCs w:val="21"/>
          <w:lang w:eastAsia="en-US"/>
        </w:rPr>
        <w:t xml:space="preserve"> </w:t>
      </w:r>
      <w:r w:rsidR="005A17B8">
        <w:rPr>
          <w:rFonts w:ascii="Calibri" w:eastAsia="Calibri" w:hAnsi="Calibri"/>
          <w:szCs w:val="21"/>
          <w:lang w:eastAsia="en-US"/>
        </w:rPr>
        <w:t>Despite these restrictions not found in the banking rulebooks, c</w:t>
      </w:r>
      <w:r w:rsidR="00362A58">
        <w:rPr>
          <w:rFonts w:asciiTheme="minorHAnsi" w:hAnsiTheme="minorHAnsi"/>
        </w:rPr>
        <w:t xml:space="preserve">redit unions and other small institutions nonetheless contribute importantly to financial inclusion and the resilience of </w:t>
      </w:r>
      <w:r w:rsidR="00682811">
        <w:rPr>
          <w:rFonts w:asciiTheme="minorHAnsi" w:hAnsiTheme="minorHAnsi"/>
        </w:rPr>
        <w:t>the</w:t>
      </w:r>
      <w:r w:rsidR="00362A58">
        <w:rPr>
          <w:rFonts w:asciiTheme="minorHAnsi" w:hAnsiTheme="minorHAnsi"/>
        </w:rPr>
        <w:t xml:space="preserve"> banking sector </w:t>
      </w:r>
      <w:r w:rsidR="00682811">
        <w:rPr>
          <w:rFonts w:asciiTheme="minorHAnsi" w:hAnsiTheme="minorHAnsi"/>
        </w:rPr>
        <w:t xml:space="preserve">in general </w:t>
      </w:r>
      <w:r w:rsidR="00362A58">
        <w:rPr>
          <w:rFonts w:asciiTheme="minorHAnsi" w:hAnsiTheme="minorHAnsi"/>
        </w:rPr>
        <w:t>primarily because of their small size and orientation towards local communities.</w:t>
      </w:r>
    </w:p>
    <w:p w:rsidR="00362A58" w:rsidRDefault="00362A58" w:rsidP="00BD1F7E">
      <w:pPr>
        <w:jc w:val="both"/>
        <w:rPr>
          <w:rFonts w:asciiTheme="minorHAnsi" w:hAnsiTheme="minorHAnsi"/>
        </w:rPr>
      </w:pPr>
    </w:p>
    <w:p w:rsidR="00144343" w:rsidRDefault="00867BA2" w:rsidP="00144343">
      <w:pPr>
        <w:jc w:val="both"/>
        <w:rPr>
          <w:rFonts w:asciiTheme="minorHAnsi" w:hAnsiTheme="minorHAnsi"/>
        </w:rPr>
      </w:pPr>
      <w:r>
        <w:rPr>
          <w:rFonts w:asciiTheme="minorHAnsi" w:hAnsiTheme="minorHAnsi"/>
        </w:rPr>
        <w:t xml:space="preserve">Further, as noted in the proposed guidelines, a high </w:t>
      </w:r>
      <w:proofErr w:type="spellStart"/>
      <w:r>
        <w:rPr>
          <w:rFonts w:asciiTheme="minorHAnsi" w:hAnsiTheme="minorHAnsi"/>
        </w:rPr>
        <w:t>RoA</w:t>
      </w:r>
      <w:proofErr w:type="spellEnd"/>
      <w:r>
        <w:rPr>
          <w:rFonts w:asciiTheme="minorHAnsi" w:hAnsiTheme="minorHAnsi"/>
        </w:rPr>
        <w:t xml:space="preserve"> often indicates unsustainable institutional growth and </w:t>
      </w:r>
      <w:r w:rsidR="00E9263A">
        <w:rPr>
          <w:rFonts w:asciiTheme="minorHAnsi" w:hAnsiTheme="minorHAnsi"/>
        </w:rPr>
        <w:t xml:space="preserve">increased </w:t>
      </w:r>
      <w:r>
        <w:rPr>
          <w:rFonts w:asciiTheme="minorHAnsi" w:hAnsiTheme="minorHAnsi"/>
        </w:rPr>
        <w:t>risk</w:t>
      </w:r>
      <w:r w:rsidR="007C3253">
        <w:rPr>
          <w:rFonts w:asciiTheme="minorHAnsi" w:hAnsiTheme="minorHAnsi"/>
        </w:rPr>
        <w:t xml:space="preserve"> to the DGS fund</w:t>
      </w:r>
      <w:r w:rsidR="00F77B0A">
        <w:rPr>
          <w:rFonts w:asciiTheme="minorHAnsi" w:hAnsiTheme="minorHAnsi"/>
        </w:rPr>
        <w:t>,</w:t>
      </w:r>
      <w:r>
        <w:rPr>
          <w:rFonts w:asciiTheme="minorHAnsi" w:hAnsiTheme="minorHAnsi"/>
        </w:rPr>
        <w:t xml:space="preserve"> but the proposal does not provide a clear definition of what constitutes an “unsustainably high” </w:t>
      </w:r>
      <w:proofErr w:type="spellStart"/>
      <w:r>
        <w:rPr>
          <w:rFonts w:asciiTheme="minorHAnsi" w:hAnsiTheme="minorHAnsi"/>
        </w:rPr>
        <w:t>RoA</w:t>
      </w:r>
      <w:proofErr w:type="spellEnd"/>
      <w:r>
        <w:rPr>
          <w:rFonts w:asciiTheme="minorHAnsi" w:hAnsiTheme="minorHAnsi"/>
        </w:rPr>
        <w:t xml:space="preserve">.  </w:t>
      </w:r>
      <w:r w:rsidR="00F76AF1">
        <w:rPr>
          <w:rFonts w:asciiTheme="minorHAnsi" w:hAnsiTheme="minorHAnsi"/>
        </w:rPr>
        <w:t xml:space="preserve">Without a clear definition of “unsustainably high” </w:t>
      </w:r>
      <w:proofErr w:type="spellStart"/>
      <w:r w:rsidR="00F76AF1">
        <w:rPr>
          <w:rFonts w:asciiTheme="minorHAnsi" w:hAnsiTheme="minorHAnsi"/>
        </w:rPr>
        <w:t>RoA</w:t>
      </w:r>
      <w:proofErr w:type="spellEnd"/>
      <w:r w:rsidR="00F76AF1">
        <w:rPr>
          <w:rFonts w:asciiTheme="minorHAnsi" w:hAnsiTheme="minorHAnsi"/>
        </w:rPr>
        <w:t xml:space="preserve">, national supervisors are likely to struggle to decide how much </w:t>
      </w:r>
      <w:proofErr w:type="spellStart"/>
      <w:r w:rsidR="00F76AF1">
        <w:rPr>
          <w:rFonts w:asciiTheme="minorHAnsi" w:hAnsiTheme="minorHAnsi"/>
        </w:rPr>
        <w:t>RoA</w:t>
      </w:r>
      <w:proofErr w:type="spellEnd"/>
      <w:r w:rsidR="00F76AF1">
        <w:rPr>
          <w:rFonts w:asciiTheme="minorHAnsi" w:hAnsiTheme="minorHAnsi"/>
        </w:rPr>
        <w:t xml:space="preserve"> is too much during boom periods when many financial institutions are experiencing unsustainable </w:t>
      </w:r>
      <w:r w:rsidR="00F77B0A">
        <w:rPr>
          <w:rFonts w:asciiTheme="minorHAnsi" w:hAnsiTheme="minorHAnsi"/>
        </w:rPr>
        <w:t>profits</w:t>
      </w:r>
      <w:r w:rsidR="009C397D">
        <w:rPr>
          <w:rFonts w:asciiTheme="minorHAnsi" w:hAnsiTheme="minorHAnsi"/>
        </w:rPr>
        <w:t xml:space="preserve"> and expansions</w:t>
      </w:r>
      <w:r w:rsidR="00F76AF1">
        <w:rPr>
          <w:rFonts w:asciiTheme="minorHAnsi" w:hAnsiTheme="minorHAnsi"/>
        </w:rPr>
        <w:t>, which would under-price the risk these institutions present to a DGS fund.</w:t>
      </w:r>
      <w:r w:rsidR="00144343">
        <w:rPr>
          <w:rFonts w:asciiTheme="minorHAnsi" w:hAnsiTheme="minorHAnsi"/>
        </w:rPr>
        <w:t xml:space="preserve">  </w:t>
      </w:r>
      <w:r w:rsidR="00C57A64">
        <w:rPr>
          <w:rFonts w:asciiTheme="minorHAnsi" w:hAnsiTheme="minorHAnsi"/>
        </w:rPr>
        <w:t>An institution’s</w:t>
      </w:r>
      <w:r w:rsidR="00144343">
        <w:rPr>
          <w:rFonts w:asciiTheme="minorHAnsi" w:hAnsiTheme="minorHAnsi"/>
        </w:rPr>
        <w:t xml:space="preserve"> income </w:t>
      </w:r>
      <w:r w:rsidR="00315965">
        <w:rPr>
          <w:rFonts w:asciiTheme="minorHAnsi" w:hAnsiTheme="minorHAnsi"/>
        </w:rPr>
        <w:t>included in</w:t>
      </w:r>
      <w:r w:rsidR="00144343">
        <w:rPr>
          <w:rFonts w:asciiTheme="minorHAnsi" w:hAnsiTheme="minorHAnsi"/>
        </w:rPr>
        <w:t xml:space="preserve"> </w:t>
      </w:r>
      <w:proofErr w:type="spellStart"/>
      <w:r w:rsidR="00144343">
        <w:rPr>
          <w:rFonts w:asciiTheme="minorHAnsi" w:hAnsiTheme="minorHAnsi"/>
        </w:rPr>
        <w:t>RoA</w:t>
      </w:r>
      <w:proofErr w:type="spellEnd"/>
      <w:r w:rsidR="00144343">
        <w:rPr>
          <w:rFonts w:asciiTheme="minorHAnsi" w:hAnsiTheme="minorHAnsi"/>
        </w:rPr>
        <w:t xml:space="preserve"> also may be </w:t>
      </w:r>
      <w:r w:rsidR="00AF1FE9">
        <w:rPr>
          <w:rFonts w:asciiTheme="minorHAnsi" w:hAnsiTheme="minorHAnsi"/>
        </w:rPr>
        <w:t>spent on</w:t>
      </w:r>
      <w:r w:rsidR="00144343">
        <w:rPr>
          <w:rFonts w:asciiTheme="minorHAnsi" w:hAnsiTheme="minorHAnsi"/>
        </w:rPr>
        <w:t xml:space="preserve"> dividends or used to finance expansion and therefore </w:t>
      </w:r>
      <w:r w:rsidR="00E17939">
        <w:rPr>
          <w:rFonts w:asciiTheme="minorHAnsi" w:hAnsiTheme="minorHAnsi"/>
        </w:rPr>
        <w:t>may</w:t>
      </w:r>
      <w:r w:rsidR="00144343">
        <w:rPr>
          <w:rFonts w:asciiTheme="minorHAnsi" w:hAnsiTheme="minorHAnsi"/>
        </w:rPr>
        <w:t xml:space="preserve"> not be available to cover losses</w:t>
      </w:r>
      <w:r w:rsidR="00AF1FE9">
        <w:rPr>
          <w:rFonts w:asciiTheme="minorHAnsi" w:hAnsiTheme="minorHAnsi"/>
        </w:rPr>
        <w:t>,</w:t>
      </w:r>
      <w:r w:rsidR="00144343">
        <w:rPr>
          <w:rFonts w:asciiTheme="minorHAnsi" w:hAnsiTheme="minorHAnsi"/>
        </w:rPr>
        <w:t xml:space="preserve"> unlike retained earnings.</w:t>
      </w:r>
    </w:p>
    <w:p w:rsidR="00CC542E" w:rsidRDefault="00CC542E" w:rsidP="00BD1F7E">
      <w:pPr>
        <w:jc w:val="both"/>
        <w:rPr>
          <w:rFonts w:asciiTheme="minorHAnsi" w:hAnsiTheme="minorHAnsi"/>
        </w:rPr>
      </w:pPr>
    </w:p>
    <w:p w:rsidR="00CC542E" w:rsidRDefault="00CC542E" w:rsidP="00CC542E">
      <w:pPr>
        <w:jc w:val="both"/>
        <w:rPr>
          <w:rFonts w:asciiTheme="minorHAnsi" w:hAnsiTheme="minorHAnsi"/>
        </w:rPr>
      </w:pPr>
      <w:r>
        <w:rPr>
          <w:rFonts w:asciiTheme="minorHAnsi" w:hAnsiTheme="minorHAnsi"/>
        </w:rPr>
        <w:t xml:space="preserve">We think that a better measure </w:t>
      </w:r>
      <w:r w:rsidR="00CA148D">
        <w:rPr>
          <w:rFonts w:asciiTheme="minorHAnsi" w:hAnsiTheme="minorHAnsi"/>
        </w:rPr>
        <w:t xml:space="preserve">of how the institution’s income affects its risk to a DGS fund </w:t>
      </w:r>
      <w:r>
        <w:rPr>
          <w:rFonts w:asciiTheme="minorHAnsi" w:hAnsiTheme="minorHAnsi"/>
        </w:rPr>
        <w:t xml:space="preserve">would </w:t>
      </w:r>
      <w:r w:rsidR="00CA148D">
        <w:rPr>
          <w:rFonts w:asciiTheme="minorHAnsi" w:hAnsiTheme="minorHAnsi"/>
        </w:rPr>
        <w:t xml:space="preserve">be </w:t>
      </w:r>
      <w:r>
        <w:rPr>
          <w:rFonts w:asciiTheme="minorHAnsi" w:hAnsiTheme="minorHAnsi"/>
        </w:rPr>
        <w:t>the ratio of the institution’</w:t>
      </w:r>
      <w:r w:rsidR="00CA148D">
        <w:rPr>
          <w:rFonts w:asciiTheme="minorHAnsi" w:hAnsiTheme="minorHAnsi"/>
        </w:rPr>
        <w:t>s additions to retained earnings relative to its total assets:</w:t>
      </w:r>
    </w:p>
    <w:p w:rsidR="00CA148D" w:rsidRDefault="00CA148D" w:rsidP="00CC542E">
      <w:pPr>
        <w:jc w:val="both"/>
        <w:rPr>
          <w:rFonts w:asciiTheme="minorHAnsi" w:hAnsiTheme="minorHAnsi"/>
        </w:rPr>
      </w:pPr>
    </w:p>
    <w:p w:rsidR="00F938A8" w:rsidRDefault="00CA148D" w:rsidP="00CC542E">
      <w:pPr>
        <w:jc w:val="both"/>
        <w:rPr>
          <w:rFonts w:asciiTheme="minorHAnsi" w:hAnsiTheme="minorHAnsi"/>
        </w:rPr>
      </w:pPr>
      <w:r>
        <w:rPr>
          <w:rFonts w:asciiTheme="minorHAnsi" w:hAnsiTheme="minorHAnsi"/>
        </w:rPr>
        <w:tab/>
      </w:r>
      <w:r w:rsidR="00F938A8">
        <w:rPr>
          <w:rFonts w:asciiTheme="minorHAnsi" w:hAnsiTheme="minorHAnsi"/>
        </w:rPr>
        <w:tab/>
      </w:r>
      <w:r w:rsidR="00F938A8">
        <w:rPr>
          <w:rFonts w:asciiTheme="minorHAnsi" w:hAnsiTheme="minorHAnsi"/>
        </w:rPr>
        <w:tab/>
      </w:r>
      <w:r>
        <w:rPr>
          <w:rFonts w:asciiTheme="minorHAnsi" w:hAnsiTheme="minorHAnsi"/>
        </w:rPr>
        <w:t>(</w:t>
      </w:r>
      <w:proofErr w:type="gramStart"/>
      <w:r>
        <w:rPr>
          <w:rFonts w:asciiTheme="minorHAnsi" w:hAnsiTheme="minorHAnsi"/>
        </w:rPr>
        <w:t>institution’s</w:t>
      </w:r>
      <w:proofErr w:type="gramEnd"/>
      <w:r>
        <w:rPr>
          <w:rFonts w:asciiTheme="minorHAnsi" w:hAnsiTheme="minorHAnsi"/>
        </w:rPr>
        <w:t xml:space="preserve"> additions to reserves of </w:t>
      </w:r>
      <w:r w:rsidR="007A6BA9">
        <w:rPr>
          <w:rFonts w:asciiTheme="minorHAnsi" w:hAnsiTheme="minorHAnsi"/>
        </w:rPr>
        <w:t xml:space="preserve">retained and </w:t>
      </w:r>
    </w:p>
    <w:p w:rsidR="007A6BA9" w:rsidRDefault="00F938A8" w:rsidP="00F938A8">
      <w:pPr>
        <w:ind w:left="1440" w:firstLine="720"/>
        <w:jc w:val="both"/>
        <w:rPr>
          <w:rFonts w:asciiTheme="minorHAnsi" w:hAnsiTheme="minorHAnsi"/>
        </w:rPr>
      </w:pPr>
      <w:r>
        <w:rPr>
          <w:rFonts w:asciiTheme="minorHAnsi" w:hAnsiTheme="minorHAnsi"/>
        </w:rPr>
        <w:t xml:space="preserve">   </w:t>
      </w:r>
      <w:proofErr w:type="gramStart"/>
      <w:r w:rsidR="007A6BA9">
        <w:rPr>
          <w:rFonts w:asciiTheme="minorHAnsi" w:hAnsiTheme="minorHAnsi"/>
        </w:rPr>
        <w:t>undivided</w:t>
      </w:r>
      <w:proofErr w:type="gramEnd"/>
      <w:r w:rsidR="007A6BA9">
        <w:rPr>
          <w:rFonts w:asciiTheme="minorHAnsi" w:hAnsiTheme="minorHAnsi"/>
        </w:rPr>
        <w:t xml:space="preserve"> earning</w:t>
      </w:r>
      <w:r w:rsidR="003F2D35">
        <w:rPr>
          <w:rFonts w:asciiTheme="minorHAnsi" w:hAnsiTheme="minorHAnsi"/>
        </w:rPr>
        <w:t xml:space="preserve"> during the reporting period</w:t>
      </w:r>
      <w:r w:rsidR="007A6BA9">
        <w:rPr>
          <w:rFonts w:asciiTheme="minorHAnsi" w:hAnsiTheme="minorHAnsi"/>
        </w:rPr>
        <w:t>)</w:t>
      </w:r>
    </w:p>
    <w:p w:rsidR="007A6BA9" w:rsidRDefault="007A6BA9" w:rsidP="00CC542E">
      <w:pPr>
        <w:jc w:val="both"/>
        <w:rPr>
          <w:rFonts w:asciiTheme="minorHAnsi" w:hAnsiTheme="minorHAnsi"/>
        </w:rPr>
      </w:pPr>
      <w:r>
        <w:rPr>
          <w:rFonts w:asciiTheme="minorHAnsi" w:hAnsiTheme="minorHAnsi"/>
        </w:rPr>
        <w:tab/>
      </w:r>
      <w:r>
        <w:rPr>
          <w:rFonts w:asciiTheme="minorHAnsi" w:hAnsiTheme="minorHAnsi"/>
        </w:rPr>
        <w:tab/>
      </w:r>
      <w:r w:rsidR="003F2D35">
        <w:rPr>
          <w:rFonts w:asciiTheme="minorHAnsi" w:hAnsiTheme="minorHAnsi"/>
        </w:rPr>
        <w:tab/>
      </w:r>
      <w:r>
        <w:rPr>
          <w:rFonts w:asciiTheme="minorHAnsi" w:hAnsiTheme="minorHAnsi"/>
        </w:rPr>
        <w:t>----------------------------------------------------------------------</w:t>
      </w:r>
    </w:p>
    <w:p w:rsidR="00CA148D" w:rsidRDefault="00F938A8" w:rsidP="003F2D35">
      <w:pPr>
        <w:ind w:left="2160" w:firstLine="720"/>
        <w:jc w:val="both"/>
        <w:rPr>
          <w:rFonts w:asciiTheme="minorHAnsi" w:hAnsiTheme="minorHAnsi"/>
        </w:rPr>
      </w:pPr>
      <w:r>
        <w:rPr>
          <w:rFonts w:asciiTheme="minorHAnsi" w:hAnsiTheme="minorHAnsi"/>
        </w:rPr>
        <w:t xml:space="preserve">      </w:t>
      </w:r>
      <w:r w:rsidR="00CA148D">
        <w:rPr>
          <w:rFonts w:asciiTheme="minorHAnsi" w:hAnsiTheme="minorHAnsi"/>
        </w:rPr>
        <w:t>(</w:t>
      </w:r>
      <w:proofErr w:type="gramStart"/>
      <w:r w:rsidR="00CA148D">
        <w:rPr>
          <w:rFonts w:asciiTheme="minorHAnsi" w:hAnsiTheme="minorHAnsi"/>
        </w:rPr>
        <w:t>institution’s</w:t>
      </w:r>
      <w:proofErr w:type="gramEnd"/>
      <w:r w:rsidR="00CA148D">
        <w:rPr>
          <w:rFonts w:asciiTheme="minorHAnsi" w:hAnsiTheme="minorHAnsi"/>
        </w:rPr>
        <w:t xml:space="preserve"> total assets)</w:t>
      </w:r>
    </w:p>
    <w:p w:rsidR="00C42277" w:rsidRDefault="00C42277" w:rsidP="009A0E4F">
      <w:pPr>
        <w:jc w:val="both"/>
        <w:rPr>
          <w:rFonts w:asciiTheme="minorHAnsi" w:hAnsiTheme="minorHAnsi"/>
        </w:rPr>
      </w:pPr>
    </w:p>
    <w:p w:rsidR="00C34EBD" w:rsidRDefault="00C34EBD" w:rsidP="009A0E4F">
      <w:pPr>
        <w:jc w:val="both"/>
        <w:rPr>
          <w:rFonts w:asciiTheme="minorHAnsi" w:hAnsiTheme="minorHAnsi"/>
        </w:rPr>
      </w:pPr>
      <w:r>
        <w:rPr>
          <w:rFonts w:asciiTheme="minorHAnsi" w:hAnsiTheme="minorHAnsi"/>
        </w:rPr>
        <w:t xml:space="preserve">We urge the EBA to remove </w:t>
      </w:r>
      <w:proofErr w:type="spellStart"/>
      <w:r>
        <w:rPr>
          <w:rFonts w:asciiTheme="minorHAnsi" w:hAnsiTheme="minorHAnsi"/>
        </w:rPr>
        <w:t>RoA</w:t>
      </w:r>
      <w:proofErr w:type="spellEnd"/>
      <w:r>
        <w:rPr>
          <w:rFonts w:asciiTheme="minorHAnsi" w:hAnsiTheme="minorHAnsi"/>
        </w:rPr>
        <w:t xml:space="preserve"> from the final version of the guidance, or at least to move </w:t>
      </w:r>
      <w:proofErr w:type="spellStart"/>
      <w:r>
        <w:rPr>
          <w:rFonts w:asciiTheme="minorHAnsi" w:hAnsiTheme="minorHAnsi"/>
        </w:rPr>
        <w:t>RoA</w:t>
      </w:r>
      <w:proofErr w:type="spellEnd"/>
      <w:r>
        <w:rPr>
          <w:rFonts w:asciiTheme="minorHAnsi" w:hAnsiTheme="minorHAnsi"/>
        </w:rPr>
        <w:t xml:space="preserve"> from the Annex 2 “Description of core risk indicators” to the Annex 3 “Description of additional risk factors”.    </w:t>
      </w:r>
    </w:p>
    <w:p w:rsidR="00C34EBD" w:rsidRDefault="00C34EBD" w:rsidP="009A0E4F">
      <w:pPr>
        <w:jc w:val="both"/>
        <w:rPr>
          <w:rFonts w:asciiTheme="minorHAnsi" w:hAnsiTheme="minorHAnsi"/>
        </w:rPr>
      </w:pPr>
    </w:p>
    <w:p w:rsidR="00C42277" w:rsidRDefault="00C42277" w:rsidP="009A0E4F">
      <w:pPr>
        <w:jc w:val="both"/>
        <w:rPr>
          <w:rFonts w:asciiTheme="minorHAnsi" w:hAnsiTheme="minorHAnsi"/>
        </w:rPr>
      </w:pPr>
      <w:r>
        <w:rPr>
          <w:rFonts w:asciiTheme="minorHAnsi" w:hAnsiTheme="minorHAnsi"/>
        </w:rPr>
        <w:t xml:space="preserve">We </w:t>
      </w:r>
      <w:r w:rsidR="00C34EBD">
        <w:rPr>
          <w:rFonts w:asciiTheme="minorHAnsi" w:hAnsiTheme="minorHAnsi"/>
        </w:rPr>
        <w:t xml:space="preserve">also </w:t>
      </w:r>
      <w:r>
        <w:rPr>
          <w:rFonts w:asciiTheme="minorHAnsi" w:hAnsiTheme="minorHAnsi"/>
        </w:rPr>
        <w:t xml:space="preserve">urge the EBA to revise the guidance to include the ratio of an institution’s additions to reserves relative to its total assets as a core individual risk indictor instead of </w:t>
      </w:r>
      <w:proofErr w:type="spellStart"/>
      <w:r>
        <w:rPr>
          <w:rFonts w:asciiTheme="minorHAnsi" w:hAnsiTheme="minorHAnsi"/>
        </w:rPr>
        <w:t>RoA</w:t>
      </w:r>
      <w:proofErr w:type="spellEnd"/>
      <w:r>
        <w:rPr>
          <w:rFonts w:asciiTheme="minorHAnsi" w:hAnsiTheme="minorHAnsi"/>
        </w:rPr>
        <w:t>, or at least include this ratio in the Annex 3 “Description of additional risk factors”.</w:t>
      </w:r>
    </w:p>
    <w:p w:rsidR="006131B5" w:rsidRPr="008B10EF" w:rsidRDefault="006131B5" w:rsidP="003019A5">
      <w:pPr>
        <w:jc w:val="both"/>
        <w:rPr>
          <w:rFonts w:asciiTheme="minorHAnsi" w:hAnsiTheme="minorHAnsi"/>
        </w:rPr>
      </w:pPr>
    </w:p>
    <w:p w:rsidR="00F029D7" w:rsidRDefault="000A6A14" w:rsidP="003019A5">
      <w:pPr>
        <w:jc w:val="both"/>
        <w:rPr>
          <w:rFonts w:asciiTheme="minorHAnsi" w:hAnsiTheme="minorHAnsi"/>
        </w:rPr>
      </w:pPr>
      <w:r>
        <w:rPr>
          <w:rFonts w:asciiTheme="minorHAnsi" w:hAnsiTheme="minorHAnsi"/>
          <w:u w:val="single"/>
        </w:rPr>
        <w:t>c. Institutional P</w:t>
      </w:r>
      <w:r w:rsidR="00F029D7">
        <w:rPr>
          <w:rFonts w:asciiTheme="minorHAnsi" w:hAnsiTheme="minorHAnsi"/>
          <w:u w:val="single"/>
        </w:rPr>
        <w:t xml:space="preserve">rotection </w:t>
      </w:r>
      <w:r>
        <w:rPr>
          <w:rFonts w:asciiTheme="minorHAnsi" w:hAnsiTheme="minorHAnsi"/>
          <w:u w:val="single"/>
        </w:rPr>
        <w:t>S</w:t>
      </w:r>
      <w:r w:rsidR="00F029D7">
        <w:rPr>
          <w:rFonts w:asciiTheme="minorHAnsi" w:hAnsiTheme="minorHAnsi"/>
          <w:u w:val="single"/>
        </w:rPr>
        <w:t>chemes</w:t>
      </w:r>
    </w:p>
    <w:p w:rsidR="00F029D7" w:rsidRDefault="00F029D7" w:rsidP="003019A5">
      <w:pPr>
        <w:jc w:val="both"/>
        <w:rPr>
          <w:rFonts w:asciiTheme="minorHAnsi" w:hAnsiTheme="minorHAnsi"/>
        </w:rPr>
      </w:pPr>
    </w:p>
    <w:p w:rsidR="00D5158C" w:rsidRDefault="00D5158C" w:rsidP="003019A5">
      <w:pPr>
        <w:jc w:val="both"/>
        <w:rPr>
          <w:rFonts w:asciiTheme="minorHAnsi" w:hAnsiTheme="minorHAnsi"/>
        </w:rPr>
      </w:pPr>
      <w:r>
        <w:rPr>
          <w:rFonts w:asciiTheme="minorHAnsi" w:hAnsiTheme="minorHAnsi"/>
        </w:rPr>
        <w:t xml:space="preserve">We urge the EBA to include as a core individual risk indictor the institution’s membership in a private-sector </w:t>
      </w:r>
      <w:r w:rsidR="000A6A14">
        <w:rPr>
          <w:rFonts w:asciiTheme="minorHAnsi" w:hAnsiTheme="minorHAnsi"/>
        </w:rPr>
        <w:t>I</w:t>
      </w:r>
      <w:r>
        <w:rPr>
          <w:rFonts w:asciiTheme="minorHAnsi" w:hAnsiTheme="minorHAnsi"/>
        </w:rPr>
        <w:t>n</w:t>
      </w:r>
      <w:r w:rsidR="000A6A14">
        <w:rPr>
          <w:rFonts w:asciiTheme="minorHAnsi" w:hAnsiTheme="minorHAnsi"/>
        </w:rPr>
        <w:t>stitutional Protection S</w:t>
      </w:r>
      <w:r>
        <w:rPr>
          <w:rFonts w:asciiTheme="minorHAnsi" w:hAnsiTheme="minorHAnsi"/>
        </w:rPr>
        <w:t xml:space="preserve">chemes (IPS).  </w:t>
      </w:r>
      <w:r w:rsidR="00CE1CFF">
        <w:rPr>
          <w:rFonts w:asciiTheme="minorHAnsi" w:hAnsiTheme="minorHAnsi"/>
        </w:rPr>
        <w:t>Section 13</w:t>
      </w:r>
      <w:r w:rsidR="007632F7">
        <w:rPr>
          <w:rFonts w:asciiTheme="minorHAnsi" w:hAnsiTheme="minorHAnsi"/>
        </w:rPr>
        <w:t>(1)</w:t>
      </w:r>
      <w:r w:rsidR="00CE1CFF">
        <w:rPr>
          <w:rFonts w:asciiTheme="minorHAnsi" w:hAnsiTheme="minorHAnsi"/>
        </w:rPr>
        <w:t xml:space="preserve"> of the DGS Directive mentions IPS expressly</w:t>
      </w:r>
      <w:r w:rsidR="009B0DCB">
        <w:rPr>
          <w:rFonts w:asciiTheme="minorHAnsi" w:hAnsiTheme="minorHAnsi"/>
        </w:rPr>
        <w:t xml:space="preserve"> as a risk-mitigating factor</w:t>
      </w:r>
      <w:r w:rsidR="001415F0">
        <w:rPr>
          <w:rFonts w:asciiTheme="minorHAnsi" w:hAnsiTheme="minorHAnsi"/>
        </w:rPr>
        <w:t xml:space="preserve"> and credit union IPS funds play an important role in preventing credit union failures</w:t>
      </w:r>
      <w:r w:rsidR="00C345B9">
        <w:rPr>
          <w:rFonts w:asciiTheme="minorHAnsi" w:hAnsiTheme="minorHAnsi"/>
        </w:rPr>
        <w:t xml:space="preserve"> at no cost to government</w:t>
      </w:r>
      <w:r w:rsidR="001415F0">
        <w:rPr>
          <w:rFonts w:asciiTheme="minorHAnsi" w:hAnsiTheme="minorHAnsi"/>
        </w:rPr>
        <w:t>.</w:t>
      </w:r>
      <w:r w:rsidR="00CE1CFF">
        <w:rPr>
          <w:rFonts w:asciiTheme="minorHAnsi" w:hAnsiTheme="minorHAnsi"/>
        </w:rPr>
        <w:t xml:space="preserve">  </w:t>
      </w:r>
      <w:r>
        <w:rPr>
          <w:rFonts w:asciiTheme="minorHAnsi" w:hAnsiTheme="minorHAnsi"/>
        </w:rPr>
        <w:t>We therefore urge the EBA to include IPS membership in the Annex 2 “Description of core risk indicators” instead of the Annex 3 “Description of additional risk indicators”</w:t>
      </w:r>
      <w:r w:rsidR="007071E6">
        <w:rPr>
          <w:rFonts w:asciiTheme="minorHAnsi" w:hAnsiTheme="minorHAnsi"/>
        </w:rPr>
        <w:t>.</w:t>
      </w:r>
    </w:p>
    <w:p w:rsidR="009A0E4F" w:rsidRDefault="009A0E4F" w:rsidP="003019A5">
      <w:pPr>
        <w:jc w:val="both"/>
        <w:rPr>
          <w:rFonts w:asciiTheme="minorHAnsi" w:hAnsiTheme="minorHAnsi"/>
        </w:rPr>
      </w:pPr>
    </w:p>
    <w:p w:rsidR="000A6A14" w:rsidRDefault="00F029D7" w:rsidP="003019A5">
      <w:pPr>
        <w:jc w:val="both"/>
        <w:rPr>
          <w:rFonts w:asciiTheme="minorHAnsi" w:hAnsiTheme="minorHAnsi"/>
        </w:rPr>
      </w:pPr>
      <w:r>
        <w:rPr>
          <w:rFonts w:asciiTheme="minorHAnsi" w:hAnsiTheme="minorHAnsi"/>
        </w:rPr>
        <w:lastRenderedPageBreak/>
        <w:t>Credit union associations</w:t>
      </w:r>
      <w:r w:rsidR="00D5158C">
        <w:rPr>
          <w:rFonts w:asciiTheme="minorHAnsi" w:hAnsiTheme="minorHAnsi"/>
        </w:rPr>
        <w:t xml:space="preserve"> often operate private-sector IPS </w:t>
      </w:r>
      <w:r w:rsidR="0076519B">
        <w:rPr>
          <w:rFonts w:asciiTheme="minorHAnsi" w:hAnsiTheme="minorHAnsi"/>
        </w:rPr>
        <w:t>that</w:t>
      </w:r>
      <w:r>
        <w:rPr>
          <w:rFonts w:asciiTheme="minorHAnsi" w:hAnsiTheme="minorHAnsi"/>
        </w:rPr>
        <w:t xml:space="preserve"> are funded by their member credit unions and act as “stabilisation funds” to </w:t>
      </w:r>
      <w:r w:rsidR="000E795C">
        <w:rPr>
          <w:rFonts w:asciiTheme="minorHAnsi" w:hAnsiTheme="minorHAnsi"/>
        </w:rPr>
        <w:t xml:space="preserve">help resolve weak institutions without governmental assistance from a DGS </w:t>
      </w:r>
      <w:r w:rsidR="002C6433">
        <w:rPr>
          <w:rFonts w:asciiTheme="minorHAnsi" w:hAnsiTheme="minorHAnsi"/>
        </w:rPr>
        <w:t xml:space="preserve">fund </w:t>
      </w:r>
      <w:r w:rsidR="000E795C">
        <w:rPr>
          <w:rFonts w:asciiTheme="minorHAnsi" w:hAnsiTheme="minorHAnsi"/>
        </w:rPr>
        <w:t xml:space="preserve">or other source.  For example, the Irish League of Credit Unions (ILCU) </w:t>
      </w:r>
      <w:r w:rsidR="000E795C" w:rsidRPr="000E795C">
        <w:rPr>
          <w:rFonts w:asciiTheme="minorHAnsi" w:hAnsiTheme="minorHAnsi"/>
        </w:rPr>
        <w:t>operates its own internal stabilisation fund for aff</w:t>
      </w:r>
      <w:r w:rsidR="000E795C" w:rsidRPr="003E572E">
        <w:rPr>
          <w:rFonts w:asciiTheme="minorHAnsi" w:hAnsiTheme="minorHAnsi"/>
        </w:rPr>
        <w:t>ili</w:t>
      </w:r>
      <w:r w:rsidR="000E795C" w:rsidRPr="000E795C">
        <w:rPr>
          <w:rFonts w:asciiTheme="minorHAnsi" w:hAnsiTheme="minorHAnsi"/>
        </w:rPr>
        <w:t xml:space="preserve">ated credit unions </w:t>
      </w:r>
      <w:r w:rsidR="000E795C">
        <w:rPr>
          <w:rFonts w:asciiTheme="minorHAnsi" w:hAnsiTheme="minorHAnsi"/>
        </w:rPr>
        <w:t xml:space="preserve">in the Republic of Ireland and Northern Ireland </w:t>
      </w:r>
      <w:r w:rsidR="000E795C" w:rsidRPr="000E795C">
        <w:rPr>
          <w:rFonts w:asciiTheme="minorHAnsi" w:hAnsiTheme="minorHAnsi"/>
        </w:rPr>
        <w:t>called the Savings Protection Scheme (SPS)</w:t>
      </w:r>
      <w:r w:rsidR="000E795C">
        <w:rPr>
          <w:rFonts w:asciiTheme="minorHAnsi" w:hAnsiTheme="minorHAnsi"/>
        </w:rPr>
        <w:t xml:space="preserve">.  The SPS has given support to a number of credit unions over the years </w:t>
      </w:r>
      <w:r w:rsidR="004431D3">
        <w:rPr>
          <w:rFonts w:asciiTheme="minorHAnsi" w:hAnsiTheme="minorHAnsi"/>
        </w:rPr>
        <w:t xml:space="preserve">without the use of public moneys.  </w:t>
      </w:r>
    </w:p>
    <w:p w:rsidR="000A6A14" w:rsidRDefault="000A6A14" w:rsidP="003019A5">
      <w:pPr>
        <w:jc w:val="both"/>
        <w:rPr>
          <w:rFonts w:asciiTheme="minorHAnsi" w:hAnsiTheme="minorHAnsi"/>
        </w:rPr>
      </w:pPr>
    </w:p>
    <w:p w:rsidR="00F029D7" w:rsidRPr="00F029D7" w:rsidRDefault="004431D3" w:rsidP="003019A5">
      <w:pPr>
        <w:jc w:val="both"/>
        <w:rPr>
          <w:rFonts w:asciiTheme="minorHAnsi" w:hAnsiTheme="minorHAnsi"/>
        </w:rPr>
      </w:pPr>
      <w:r>
        <w:rPr>
          <w:rFonts w:asciiTheme="minorHAnsi" w:hAnsiTheme="minorHAnsi"/>
        </w:rPr>
        <w:t>We believe that private-sector IPS fund</w:t>
      </w:r>
      <w:r w:rsidR="0037025E">
        <w:rPr>
          <w:rFonts w:asciiTheme="minorHAnsi" w:hAnsiTheme="minorHAnsi"/>
        </w:rPr>
        <w:t xml:space="preserve"> memberships</w:t>
      </w:r>
      <w:r>
        <w:rPr>
          <w:rFonts w:asciiTheme="minorHAnsi" w:hAnsiTheme="minorHAnsi"/>
        </w:rPr>
        <w:t xml:space="preserve"> for credit unions and similar IPS fund</w:t>
      </w:r>
      <w:r w:rsidR="00F013AF">
        <w:rPr>
          <w:rFonts w:asciiTheme="minorHAnsi" w:hAnsiTheme="minorHAnsi"/>
        </w:rPr>
        <w:t xml:space="preserve"> membership</w:t>
      </w:r>
      <w:r>
        <w:rPr>
          <w:rFonts w:asciiTheme="minorHAnsi" w:hAnsiTheme="minorHAnsi"/>
        </w:rPr>
        <w:t xml:space="preserve"> should be considere</w:t>
      </w:r>
      <w:r w:rsidR="001A1FDD">
        <w:rPr>
          <w:rFonts w:asciiTheme="minorHAnsi" w:hAnsiTheme="minorHAnsi"/>
        </w:rPr>
        <w:t>d as a factor reducing risk to</w:t>
      </w:r>
      <w:r>
        <w:rPr>
          <w:rFonts w:asciiTheme="minorHAnsi" w:hAnsiTheme="minorHAnsi"/>
        </w:rPr>
        <w:t xml:space="preserve"> DGS </w:t>
      </w:r>
      <w:r w:rsidR="001A1FDD">
        <w:rPr>
          <w:rFonts w:asciiTheme="minorHAnsi" w:hAnsiTheme="minorHAnsi"/>
        </w:rPr>
        <w:t xml:space="preserve">funds </w:t>
      </w:r>
      <w:r>
        <w:rPr>
          <w:rFonts w:asciiTheme="minorHAnsi" w:hAnsiTheme="minorHAnsi"/>
        </w:rPr>
        <w:t>in all Member States where such IPS funds exist.</w:t>
      </w:r>
    </w:p>
    <w:p w:rsidR="00242F90" w:rsidRDefault="00242F90" w:rsidP="003019A5">
      <w:pPr>
        <w:jc w:val="both"/>
        <w:rPr>
          <w:rFonts w:asciiTheme="minorHAnsi" w:hAnsiTheme="minorHAnsi"/>
          <w:u w:val="single"/>
        </w:rPr>
      </w:pPr>
    </w:p>
    <w:p w:rsidR="006131B5" w:rsidRPr="00F029D7" w:rsidRDefault="00F029D7" w:rsidP="003019A5">
      <w:pPr>
        <w:jc w:val="both"/>
        <w:rPr>
          <w:rFonts w:asciiTheme="minorHAnsi" w:hAnsiTheme="minorHAnsi"/>
          <w:u w:val="single"/>
        </w:rPr>
      </w:pPr>
      <w:r>
        <w:rPr>
          <w:rFonts w:asciiTheme="minorHAnsi" w:hAnsiTheme="minorHAnsi"/>
          <w:u w:val="single"/>
        </w:rPr>
        <w:t>d. Use of CRD IV risk-based capital and liquidity measures</w:t>
      </w:r>
    </w:p>
    <w:p w:rsidR="006131B5" w:rsidRPr="008B10EF" w:rsidRDefault="006131B5" w:rsidP="003019A5">
      <w:pPr>
        <w:jc w:val="both"/>
        <w:rPr>
          <w:rFonts w:asciiTheme="minorHAnsi" w:hAnsiTheme="minorHAnsi"/>
        </w:rPr>
      </w:pPr>
    </w:p>
    <w:p w:rsidR="0037025E" w:rsidRDefault="0037025E" w:rsidP="003019A5">
      <w:pPr>
        <w:jc w:val="both"/>
        <w:rPr>
          <w:rFonts w:asciiTheme="minorHAnsi" w:hAnsiTheme="minorHAnsi"/>
        </w:rPr>
      </w:pPr>
      <w:r>
        <w:rPr>
          <w:rFonts w:asciiTheme="minorHAnsi" w:hAnsiTheme="minorHAnsi"/>
        </w:rPr>
        <w:t xml:space="preserve">Credit unions in most Member States are exempt from the CRD IV under CRD IV Article 2(5) and therefore are </w:t>
      </w:r>
      <w:r w:rsidRPr="0037025E">
        <w:rPr>
          <w:rFonts w:asciiTheme="minorHAnsi" w:hAnsiTheme="minorHAnsi"/>
          <w:u w:val="single"/>
        </w:rPr>
        <w:t>not</w:t>
      </w:r>
      <w:r>
        <w:rPr>
          <w:rFonts w:asciiTheme="minorHAnsi" w:hAnsiTheme="minorHAnsi"/>
        </w:rPr>
        <w:t xml:space="preserve"> subject to the CRD IV’s risk-based capital measures, the Liquidity Coverage Ratio (LCR), the Net Stable Funding Ratio (NSFR) and other CRD IV-based ratios.  We believe that credit unions calculating Risk-Weighted Assets, the LCR, the NSFR, et cetera, solely for purposes of DGS levy classifications would be an unwarranted regulatory burden.</w:t>
      </w:r>
    </w:p>
    <w:p w:rsidR="0037025E" w:rsidRDefault="0037025E" w:rsidP="003019A5">
      <w:pPr>
        <w:jc w:val="both"/>
        <w:rPr>
          <w:rFonts w:asciiTheme="minorHAnsi" w:hAnsiTheme="minorHAnsi"/>
        </w:rPr>
      </w:pPr>
    </w:p>
    <w:p w:rsidR="0037025E" w:rsidRDefault="0037025E" w:rsidP="003019A5">
      <w:pPr>
        <w:jc w:val="both"/>
        <w:rPr>
          <w:rFonts w:asciiTheme="minorHAnsi" w:hAnsiTheme="minorHAnsi"/>
        </w:rPr>
      </w:pPr>
      <w:r>
        <w:rPr>
          <w:rFonts w:asciiTheme="minorHAnsi" w:hAnsiTheme="minorHAnsi"/>
        </w:rPr>
        <w:t xml:space="preserve">We urge the EBA to clarify that using these CRD IV-based ratios are </w:t>
      </w:r>
      <w:r>
        <w:rPr>
          <w:rFonts w:asciiTheme="minorHAnsi" w:hAnsiTheme="minorHAnsi"/>
          <w:u w:val="single"/>
        </w:rPr>
        <w:t>not</w:t>
      </w:r>
      <w:r>
        <w:rPr>
          <w:rFonts w:asciiTheme="minorHAnsi" w:hAnsiTheme="minorHAnsi"/>
        </w:rPr>
        <w:t xml:space="preserve"> required with respect to DGS levies on institutions </w:t>
      </w:r>
      <w:r w:rsidR="00E522E8">
        <w:rPr>
          <w:rFonts w:asciiTheme="minorHAnsi" w:hAnsiTheme="minorHAnsi"/>
        </w:rPr>
        <w:t>that</w:t>
      </w:r>
      <w:r>
        <w:rPr>
          <w:rFonts w:asciiTheme="minorHAnsi" w:hAnsiTheme="minorHAnsi"/>
        </w:rPr>
        <w:t xml:space="preserve"> are exempt from the CRD IV under Article 2(5),</w:t>
      </w:r>
      <w:r w:rsidR="000A6A14">
        <w:rPr>
          <w:rFonts w:asciiTheme="minorHAnsi" w:hAnsiTheme="minorHAnsi"/>
        </w:rPr>
        <w:t xml:space="preserve"> and that supervisors should not include ratios based on CRD IV measures when calculating DGS assessments for credit unions and other institutions </w:t>
      </w:r>
      <w:r w:rsidR="00894B48">
        <w:rPr>
          <w:rFonts w:asciiTheme="minorHAnsi" w:hAnsiTheme="minorHAnsi"/>
        </w:rPr>
        <w:t>that</w:t>
      </w:r>
      <w:r w:rsidR="000A6A14">
        <w:rPr>
          <w:rFonts w:asciiTheme="minorHAnsi" w:hAnsiTheme="minorHAnsi"/>
        </w:rPr>
        <w:t xml:space="preserve"> are exempt from the CRD IV under Article 2(5)</w:t>
      </w:r>
      <w:r>
        <w:rPr>
          <w:rFonts w:asciiTheme="minorHAnsi" w:hAnsiTheme="minorHAnsi"/>
        </w:rPr>
        <w:t xml:space="preserve">. </w:t>
      </w:r>
    </w:p>
    <w:p w:rsidR="00F938A8" w:rsidRPr="0037025E" w:rsidRDefault="00F938A8" w:rsidP="003019A5">
      <w:pPr>
        <w:jc w:val="both"/>
        <w:rPr>
          <w:rFonts w:asciiTheme="minorHAnsi" w:hAnsiTheme="minorHAnsi"/>
        </w:rPr>
      </w:pPr>
    </w:p>
    <w:p w:rsidR="003019A5" w:rsidRDefault="003019A5" w:rsidP="003019A5">
      <w:pPr>
        <w:jc w:val="both"/>
        <w:rPr>
          <w:rFonts w:asciiTheme="minorHAnsi" w:hAnsiTheme="minorHAnsi"/>
          <w:b/>
          <w:i/>
        </w:rPr>
      </w:pPr>
      <w:r w:rsidRPr="008B10EF">
        <w:rPr>
          <w:rFonts w:asciiTheme="minorHAnsi" w:hAnsiTheme="minorHAnsi"/>
          <w:b/>
          <w:i/>
        </w:rPr>
        <w:t xml:space="preserve">Question 6: Do you agree with the option to use either capital coverage ratio or Common Equity Tier 1 ratio as a measure of capital? </w:t>
      </w:r>
      <w:proofErr w:type="gramStart"/>
      <w:r w:rsidRPr="008B10EF">
        <w:rPr>
          <w:rFonts w:asciiTheme="minorHAnsi" w:hAnsiTheme="minorHAnsi"/>
          <w:b/>
          <w:i/>
        </w:rPr>
        <w:t>Would you favour one of these indicators rather than the other, and why?</w:t>
      </w:r>
      <w:proofErr w:type="gramEnd"/>
    </w:p>
    <w:p w:rsidR="000A6A14" w:rsidRPr="008B10EF" w:rsidRDefault="000A6A14" w:rsidP="003019A5">
      <w:pPr>
        <w:jc w:val="both"/>
        <w:rPr>
          <w:rFonts w:asciiTheme="minorHAnsi" w:hAnsiTheme="minorHAnsi"/>
          <w:b/>
          <w:i/>
        </w:rPr>
      </w:pPr>
    </w:p>
    <w:p w:rsidR="003324FC" w:rsidRDefault="009A0E4F" w:rsidP="003019A5">
      <w:pPr>
        <w:jc w:val="both"/>
        <w:rPr>
          <w:rFonts w:asciiTheme="minorHAnsi" w:hAnsiTheme="minorHAnsi"/>
        </w:rPr>
      </w:pPr>
      <w:r>
        <w:rPr>
          <w:rFonts w:asciiTheme="minorHAnsi" w:hAnsiTheme="minorHAnsi"/>
        </w:rPr>
        <w:t>Credit unions rely on retained earnings—a form of Common Equity Tier 1 capital—as their primary source of regulatory capital.</w:t>
      </w:r>
      <w:r w:rsidR="00582D26">
        <w:rPr>
          <w:rStyle w:val="FootnoteReference"/>
          <w:rFonts w:asciiTheme="minorHAnsi" w:hAnsiTheme="minorHAnsi"/>
        </w:rPr>
        <w:footnoteReference w:id="7"/>
      </w:r>
      <w:r>
        <w:rPr>
          <w:rFonts w:asciiTheme="minorHAnsi" w:hAnsiTheme="minorHAnsi"/>
        </w:rPr>
        <w:t xml:space="preserve">  We believe that a leverage ratio of Tier 1 Capital to total assets is likely to provide the best indicator of the institution’s likely risk to the DGS </w:t>
      </w:r>
      <w:r w:rsidR="00563816">
        <w:rPr>
          <w:rFonts w:asciiTheme="minorHAnsi" w:hAnsiTheme="minorHAnsi"/>
        </w:rPr>
        <w:t xml:space="preserve">fund </w:t>
      </w:r>
      <w:r>
        <w:rPr>
          <w:rFonts w:asciiTheme="minorHAnsi" w:hAnsiTheme="minorHAnsi"/>
        </w:rPr>
        <w:t>because a leverage ratio is less susceptible to regulatory capital arbi</w:t>
      </w:r>
      <w:r w:rsidR="00563816">
        <w:rPr>
          <w:rFonts w:asciiTheme="minorHAnsi" w:hAnsiTheme="minorHAnsi"/>
        </w:rPr>
        <w:t>trage than risk-weighted assets.</w:t>
      </w:r>
      <w:r>
        <w:rPr>
          <w:rFonts w:asciiTheme="minorHAnsi" w:hAnsiTheme="minorHAnsi"/>
        </w:rPr>
        <w:t xml:space="preserve"> </w:t>
      </w:r>
      <w:r w:rsidR="00563816">
        <w:rPr>
          <w:rFonts w:asciiTheme="minorHAnsi" w:hAnsiTheme="minorHAnsi"/>
        </w:rPr>
        <w:t xml:space="preserve"> </w:t>
      </w:r>
    </w:p>
    <w:p w:rsidR="003324FC" w:rsidRDefault="003324FC" w:rsidP="003019A5">
      <w:pPr>
        <w:jc w:val="both"/>
        <w:rPr>
          <w:rFonts w:asciiTheme="minorHAnsi" w:hAnsiTheme="minorHAnsi"/>
        </w:rPr>
      </w:pPr>
    </w:p>
    <w:p w:rsidR="009A0E4F" w:rsidRDefault="00563816" w:rsidP="003019A5">
      <w:pPr>
        <w:jc w:val="both"/>
        <w:rPr>
          <w:rFonts w:asciiTheme="minorHAnsi" w:hAnsiTheme="minorHAnsi"/>
        </w:rPr>
      </w:pPr>
      <w:r>
        <w:rPr>
          <w:rFonts w:asciiTheme="minorHAnsi" w:hAnsiTheme="minorHAnsi"/>
        </w:rPr>
        <w:t>A</w:t>
      </w:r>
      <w:r w:rsidR="009A0E4F">
        <w:rPr>
          <w:rFonts w:asciiTheme="minorHAnsi" w:hAnsiTheme="minorHAnsi"/>
        </w:rPr>
        <w:t xml:space="preserve"> leverage ratio of Common Equity Tier 1 to total assets</w:t>
      </w:r>
      <w:r>
        <w:rPr>
          <w:rFonts w:asciiTheme="minorHAnsi" w:hAnsiTheme="minorHAnsi"/>
        </w:rPr>
        <w:t xml:space="preserve"> in the case of credit unions,</w:t>
      </w:r>
      <w:r w:rsidR="009A0E4F">
        <w:rPr>
          <w:rFonts w:asciiTheme="minorHAnsi" w:hAnsiTheme="minorHAnsi"/>
        </w:rPr>
        <w:t xml:space="preserve"> </w:t>
      </w:r>
      <w:r>
        <w:rPr>
          <w:rFonts w:asciiTheme="minorHAnsi" w:hAnsiTheme="minorHAnsi"/>
        </w:rPr>
        <w:t xml:space="preserve">however, would </w:t>
      </w:r>
      <w:r w:rsidR="009A0E4F">
        <w:rPr>
          <w:rFonts w:asciiTheme="minorHAnsi" w:hAnsiTheme="minorHAnsi"/>
        </w:rPr>
        <w:t xml:space="preserve">be generally </w:t>
      </w:r>
      <w:r w:rsidR="00A97131">
        <w:rPr>
          <w:rFonts w:asciiTheme="minorHAnsi" w:hAnsiTheme="minorHAnsi"/>
        </w:rPr>
        <w:t>similar to</w:t>
      </w:r>
      <w:r w:rsidR="009A0E4F">
        <w:rPr>
          <w:rFonts w:asciiTheme="minorHAnsi" w:hAnsiTheme="minorHAnsi"/>
        </w:rPr>
        <w:t xml:space="preserve"> </w:t>
      </w:r>
      <w:r>
        <w:rPr>
          <w:rFonts w:asciiTheme="minorHAnsi" w:hAnsiTheme="minorHAnsi"/>
        </w:rPr>
        <w:t>the credit unions’</w:t>
      </w:r>
      <w:r w:rsidR="009A0E4F">
        <w:rPr>
          <w:rFonts w:asciiTheme="minorHAnsi" w:hAnsiTheme="minorHAnsi"/>
        </w:rPr>
        <w:t xml:space="preserve"> ratio of total Tier 1 capital to total assets.</w:t>
      </w:r>
    </w:p>
    <w:p w:rsidR="009A0E4F" w:rsidRDefault="009A0E4F" w:rsidP="003019A5">
      <w:pPr>
        <w:jc w:val="both"/>
        <w:rPr>
          <w:rFonts w:asciiTheme="minorHAnsi" w:hAnsiTheme="minorHAnsi"/>
        </w:rPr>
      </w:pPr>
    </w:p>
    <w:p w:rsidR="009A0E4F" w:rsidRPr="008B10EF" w:rsidRDefault="009A0E4F" w:rsidP="003019A5">
      <w:pPr>
        <w:jc w:val="both"/>
        <w:rPr>
          <w:rFonts w:asciiTheme="minorHAnsi" w:hAnsiTheme="minorHAnsi"/>
        </w:rPr>
      </w:pPr>
      <w:r>
        <w:rPr>
          <w:rFonts w:asciiTheme="minorHAnsi" w:hAnsiTheme="minorHAnsi"/>
        </w:rPr>
        <w:t xml:space="preserve">We do not support using Risk-Weighted Assets in these equations because credit unions are exempt from the CRD IV risk-based capital requirements under Article 2(5) and therefore would not have to calculate </w:t>
      </w:r>
      <w:r w:rsidR="00887E53">
        <w:rPr>
          <w:rFonts w:asciiTheme="minorHAnsi" w:hAnsiTheme="minorHAnsi"/>
        </w:rPr>
        <w:t>R</w:t>
      </w:r>
      <w:r>
        <w:rPr>
          <w:rFonts w:asciiTheme="minorHAnsi" w:hAnsiTheme="minorHAnsi"/>
        </w:rPr>
        <w:t>isk-</w:t>
      </w:r>
      <w:r w:rsidR="00887E53">
        <w:rPr>
          <w:rFonts w:asciiTheme="minorHAnsi" w:hAnsiTheme="minorHAnsi"/>
        </w:rPr>
        <w:t>W</w:t>
      </w:r>
      <w:r>
        <w:rPr>
          <w:rFonts w:asciiTheme="minorHAnsi" w:hAnsiTheme="minorHAnsi"/>
        </w:rPr>
        <w:t xml:space="preserve">eighted </w:t>
      </w:r>
      <w:r w:rsidR="00887E53">
        <w:rPr>
          <w:rFonts w:asciiTheme="minorHAnsi" w:hAnsiTheme="minorHAnsi"/>
        </w:rPr>
        <w:t>A</w:t>
      </w:r>
      <w:r>
        <w:rPr>
          <w:rFonts w:asciiTheme="minorHAnsi" w:hAnsiTheme="minorHAnsi"/>
        </w:rPr>
        <w:t>ssets except for purposes of the DGS</w:t>
      </w:r>
      <w:r w:rsidR="007C66DC">
        <w:rPr>
          <w:rFonts w:asciiTheme="minorHAnsi" w:hAnsiTheme="minorHAnsi"/>
        </w:rPr>
        <w:t xml:space="preserve"> levies</w:t>
      </w:r>
      <w:r w:rsidR="000E795C">
        <w:rPr>
          <w:rFonts w:asciiTheme="minorHAnsi" w:hAnsiTheme="minorHAnsi"/>
        </w:rPr>
        <w:t>.  We believe that credit unions calculating Risk-Weighted Assets solely for purposes of DGS levy classifications would be an unwarranted regulatory burden.</w:t>
      </w:r>
      <w:r>
        <w:rPr>
          <w:rFonts w:asciiTheme="minorHAnsi" w:hAnsiTheme="minorHAnsi"/>
        </w:rPr>
        <w:t xml:space="preserve"> </w:t>
      </w:r>
    </w:p>
    <w:p w:rsidR="003019A5" w:rsidRDefault="003019A5" w:rsidP="003019A5">
      <w:pPr>
        <w:jc w:val="both"/>
        <w:rPr>
          <w:rFonts w:asciiTheme="minorHAnsi" w:hAnsiTheme="minorHAnsi"/>
        </w:rPr>
      </w:pPr>
    </w:p>
    <w:p w:rsidR="00E44B92" w:rsidRPr="00E44B92" w:rsidRDefault="00E44B92" w:rsidP="003019A5">
      <w:pPr>
        <w:jc w:val="both"/>
        <w:rPr>
          <w:rFonts w:asciiTheme="minorHAnsi" w:hAnsiTheme="minorHAnsi"/>
          <w:b/>
          <w:i/>
          <w:lang w:val="en-US"/>
        </w:rPr>
      </w:pPr>
      <w:r>
        <w:rPr>
          <w:rFonts w:asciiTheme="minorHAnsi" w:hAnsiTheme="minorHAnsi"/>
          <w:b/>
          <w:i/>
        </w:rPr>
        <w:t xml:space="preserve">Question 7: </w:t>
      </w:r>
      <w:r w:rsidRPr="00E44B92">
        <w:rPr>
          <w:rFonts w:asciiTheme="minorHAnsi" w:hAnsiTheme="minorHAnsi"/>
          <w:b/>
          <w:i/>
        </w:rPr>
        <w:t>Are there any particular types of institutions for which the core risk indicators specified in these Guidelines are not available due to the legal characteristics or supervisory regime of these institutions? Please describe the reasons why these core indicators are not available.</w:t>
      </w:r>
    </w:p>
    <w:p w:rsidR="00E44B92" w:rsidRDefault="00E44B92" w:rsidP="003019A5">
      <w:pPr>
        <w:jc w:val="both"/>
        <w:rPr>
          <w:rFonts w:asciiTheme="minorHAnsi" w:hAnsiTheme="minorHAnsi"/>
        </w:rPr>
      </w:pPr>
    </w:p>
    <w:p w:rsidR="00256BF4" w:rsidRDefault="00E44B92" w:rsidP="00256BF4">
      <w:pPr>
        <w:jc w:val="both"/>
        <w:rPr>
          <w:rFonts w:asciiTheme="minorHAnsi" w:hAnsiTheme="minorHAnsi"/>
        </w:rPr>
      </w:pPr>
      <w:r w:rsidRPr="008B10EF">
        <w:rPr>
          <w:rFonts w:ascii="Calibri" w:eastAsia="Calibri" w:hAnsi="Calibri"/>
          <w:szCs w:val="21"/>
          <w:lang w:eastAsia="en-US"/>
        </w:rPr>
        <w:t xml:space="preserve">We support the </w:t>
      </w:r>
      <w:r>
        <w:rPr>
          <w:rFonts w:ascii="Calibri" w:eastAsia="Calibri" w:hAnsi="Calibri"/>
          <w:szCs w:val="21"/>
          <w:lang w:eastAsia="en-US"/>
        </w:rPr>
        <w:t xml:space="preserve">proposed </w:t>
      </w:r>
      <w:r w:rsidRPr="008B10EF">
        <w:rPr>
          <w:rFonts w:ascii="Calibri" w:eastAsia="Calibri" w:hAnsi="Calibri"/>
          <w:szCs w:val="21"/>
          <w:lang w:eastAsia="en-US"/>
        </w:rPr>
        <w:t xml:space="preserve">guidelines’ provision for national competent authorities to exclude and adjust the core risk indicators for certain sectors based on the legal characteristics and reporting </w:t>
      </w:r>
      <w:r>
        <w:rPr>
          <w:rFonts w:ascii="Calibri" w:eastAsia="Calibri" w:hAnsi="Calibri"/>
          <w:szCs w:val="21"/>
          <w:lang w:eastAsia="en-US"/>
        </w:rPr>
        <w:t xml:space="preserve">requirements of </w:t>
      </w:r>
      <w:r w:rsidR="00D82D8C">
        <w:rPr>
          <w:rFonts w:ascii="Calibri" w:eastAsia="Calibri" w:hAnsi="Calibri"/>
          <w:szCs w:val="21"/>
          <w:lang w:eastAsia="en-US"/>
        </w:rPr>
        <w:t>those</w:t>
      </w:r>
      <w:r>
        <w:rPr>
          <w:rFonts w:ascii="Calibri" w:eastAsia="Calibri" w:hAnsi="Calibri"/>
          <w:szCs w:val="21"/>
          <w:lang w:eastAsia="en-US"/>
        </w:rPr>
        <w:t xml:space="preserve"> sectors.  In addition to being exempt from the CRD IV, </w:t>
      </w:r>
      <w:r w:rsidRPr="008B10EF">
        <w:rPr>
          <w:rFonts w:ascii="Calibri" w:eastAsia="Calibri" w:hAnsi="Calibri"/>
          <w:szCs w:val="21"/>
          <w:lang w:eastAsia="en-US"/>
        </w:rPr>
        <w:t xml:space="preserve">credit unions in the </w:t>
      </w:r>
      <w:r>
        <w:rPr>
          <w:rFonts w:ascii="Calibri" w:eastAsia="Calibri" w:hAnsi="Calibri"/>
          <w:szCs w:val="21"/>
          <w:lang w:eastAsia="en-US"/>
        </w:rPr>
        <w:t>EU</w:t>
      </w:r>
      <w:r w:rsidRPr="008B10EF">
        <w:rPr>
          <w:rFonts w:ascii="Calibri" w:eastAsia="Calibri" w:hAnsi="Calibri"/>
          <w:szCs w:val="21"/>
          <w:lang w:eastAsia="en-US"/>
        </w:rPr>
        <w:t xml:space="preserve"> are subject to a range of bespoke, </w:t>
      </w:r>
      <w:r w:rsidRPr="008B10EF">
        <w:rPr>
          <w:rFonts w:ascii="Calibri" w:eastAsia="Calibri" w:hAnsi="Calibri"/>
          <w:szCs w:val="21"/>
          <w:lang w:eastAsia="en-US"/>
        </w:rPr>
        <w:lastRenderedPageBreak/>
        <w:t>nationally-determined regulatory requirements</w:t>
      </w:r>
      <w:r>
        <w:rPr>
          <w:rFonts w:ascii="Calibri" w:eastAsia="Calibri" w:hAnsi="Calibri"/>
          <w:szCs w:val="21"/>
          <w:lang w:eastAsia="en-US"/>
        </w:rPr>
        <w:t xml:space="preserve"> and</w:t>
      </w:r>
      <w:r w:rsidR="00077B78">
        <w:rPr>
          <w:rFonts w:ascii="Calibri" w:eastAsia="Calibri" w:hAnsi="Calibri"/>
          <w:szCs w:val="21"/>
          <w:lang w:eastAsia="en-US"/>
        </w:rPr>
        <w:t>,</w:t>
      </w:r>
      <w:r>
        <w:rPr>
          <w:rFonts w:ascii="Calibri" w:eastAsia="Calibri" w:hAnsi="Calibri"/>
          <w:szCs w:val="21"/>
          <w:lang w:eastAsia="en-US"/>
        </w:rPr>
        <w:t xml:space="preserve"> as noted above, CRD IV</w:t>
      </w:r>
      <w:r w:rsidRPr="008B10EF">
        <w:rPr>
          <w:rFonts w:ascii="Calibri" w:eastAsia="Calibri" w:hAnsi="Calibri"/>
          <w:szCs w:val="21"/>
          <w:lang w:eastAsia="en-US"/>
        </w:rPr>
        <w:t>-derived indicators and categories in capital adequacy and liquidity</w:t>
      </w:r>
      <w:r w:rsidR="00627252">
        <w:rPr>
          <w:rFonts w:ascii="Calibri" w:eastAsia="Calibri" w:hAnsi="Calibri"/>
          <w:szCs w:val="21"/>
          <w:lang w:eastAsia="en-US"/>
        </w:rPr>
        <w:t xml:space="preserve"> </w:t>
      </w:r>
      <w:r w:rsidRPr="008B10EF">
        <w:rPr>
          <w:rFonts w:ascii="Calibri" w:eastAsia="Calibri" w:hAnsi="Calibri"/>
          <w:szCs w:val="21"/>
          <w:lang w:eastAsia="en-US"/>
        </w:rPr>
        <w:t>are not appropriate or relevant</w:t>
      </w:r>
      <w:r w:rsidR="00FE7326">
        <w:rPr>
          <w:rFonts w:ascii="Calibri" w:eastAsia="Calibri" w:hAnsi="Calibri"/>
          <w:szCs w:val="21"/>
          <w:lang w:eastAsia="en-US"/>
        </w:rPr>
        <w:t xml:space="preserve"> for credit unions</w:t>
      </w:r>
      <w:r w:rsidRPr="008B10EF">
        <w:rPr>
          <w:rFonts w:ascii="Calibri" w:eastAsia="Calibri" w:hAnsi="Calibri"/>
          <w:szCs w:val="21"/>
          <w:lang w:eastAsia="en-US"/>
        </w:rPr>
        <w:t xml:space="preserve">. </w:t>
      </w:r>
      <w:r w:rsidR="00256BF4">
        <w:rPr>
          <w:rFonts w:ascii="Calibri" w:eastAsia="Calibri" w:hAnsi="Calibri"/>
          <w:szCs w:val="21"/>
          <w:lang w:eastAsia="en-US"/>
        </w:rPr>
        <w:t xml:space="preserve"> </w:t>
      </w:r>
      <w:r w:rsidR="00256BF4" w:rsidRPr="008B10EF">
        <w:rPr>
          <w:rFonts w:asciiTheme="minorHAnsi" w:hAnsiTheme="minorHAnsi"/>
        </w:rPr>
        <w:t>The potential for competent authorities to make special considerations for low risk sectors is welcome</w:t>
      </w:r>
      <w:r w:rsidR="00256BF4">
        <w:rPr>
          <w:rFonts w:asciiTheme="minorHAnsi" w:hAnsiTheme="minorHAnsi"/>
        </w:rPr>
        <w:t>,</w:t>
      </w:r>
      <w:r w:rsidR="00256BF4" w:rsidRPr="008B10EF">
        <w:rPr>
          <w:rFonts w:asciiTheme="minorHAnsi" w:hAnsiTheme="minorHAnsi"/>
        </w:rPr>
        <w:t xml:space="preserve"> however</w:t>
      </w:r>
      <w:r w:rsidR="00256BF4">
        <w:rPr>
          <w:rFonts w:asciiTheme="minorHAnsi" w:hAnsiTheme="minorHAnsi"/>
        </w:rPr>
        <w:t>,</w:t>
      </w:r>
      <w:r w:rsidR="00256BF4" w:rsidRPr="008B10EF">
        <w:rPr>
          <w:rFonts w:asciiTheme="minorHAnsi" w:hAnsiTheme="minorHAnsi"/>
        </w:rPr>
        <w:t xml:space="preserve"> </w:t>
      </w:r>
      <w:r w:rsidR="00256BF4">
        <w:rPr>
          <w:rFonts w:asciiTheme="minorHAnsi" w:hAnsiTheme="minorHAnsi"/>
        </w:rPr>
        <w:t>we believe this national discretion</w:t>
      </w:r>
      <w:r w:rsidR="00256BF4" w:rsidRPr="008B10EF">
        <w:rPr>
          <w:rFonts w:asciiTheme="minorHAnsi" w:hAnsiTheme="minorHAnsi"/>
        </w:rPr>
        <w:t xml:space="preserve"> should go beyond </w:t>
      </w:r>
      <w:r w:rsidR="00256BF4">
        <w:rPr>
          <w:rFonts w:asciiTheme="minorHAnsi" w:hAnsiTheme="minorHAnsi"/>
        </w:rPr>
        <w:t>the</w:t>
      </w:r>
      <w:r w:rsidR="00256BF4" w:rsidRPr="008B10EF">
        <w:rPr>
          <w:rFonts w:asciiTheme="minorHAnsi" w:hAnsiTheme="minorHAnsi"/>
        </w:rPr>
        <w:t xml:space="preserve"> track record of </w:t>
      </w:r>
      <w:r w:rsidR="00256BF4">
        <w:rPr>
          <w:rFonts w:asciiTheme="minorHAnsi" w:hAnsiTheme="minorHAnsi"/>
        </w:rPr>
        <w:t xml:space="preserve">similar institutions and also take into account legal restrictions on the institution </w:t>
      </w:r>
      <w:r w:rsidR="00DE737E">
        <w:rPr>
          <w:rFonts w:asciiTheme="minorHAnsi" w:hAnsiTheme="minorHAnsi"/>
        </w:rPr>
        <w:t>that</w:t>
      </w:r>
      <w:r w:rsidR="00256BF4" w:rsidRPr="008B10EF">
        <w:rPr>
          <w:rFonts w:asciiTheme="minorHAnsi" w:hAnsiTheme="minorHAnsi"/>
        </w:rPr>
        <w:t xml:space="preserve"> limit </w:t>
      </w:r>
      <w:r w:rsidR="00867D45">
        <w:rPr>
          <w:rFonts w:asciiTheme="minorHAnsi" w:hAnsiTheme="minorHAnsi"/>
        </w:rPr>
        <w:t>these institutions</w:t>
      </w:r>
      <w:r w:rsidR="00256BF4" w:rsidRPr="008B10EF">
        <w:rPr>
          <w:rFonts w:asciiTheme="minorHAnsi" w:hAnsiTheme="minorHAnsi"/>
        </w:rPr>
        <w:t xml:space="preserve"> </w:t>
      </w:r>
      <w:r w:rsidR="00256BF4">
        <w:rPr>
          <w:rFonts w:asciiTheme="minorHAnsi" w:hAnsiTheme="minorHAnsi"/>
        </w:rPr>
        <w:t>to lower-risk lines of business</w:t>
      </w:r>
      <w:r w:rsidR="001A17B3">
        <w:rPr>
          <w:rFonts w:asciiTheme="minorHAnsi" w:hAnsiTheme="minorHAnsi"/>
        </w:rPr>
        <w:t>,</w:t>
      </w:r>
      <w:r w:rsidR="00256BF4">
        <w:rPr>
          <w:rFonts w:asciiTheme="minorHAnsi" w:hAnsiTheme="minorHAnsi"/>
        </w:rPr>
        <w:t xml:space="preserve"> such as retail-banking services in localised areas</w:t>
      </w:r>
      <w:r w:rsidR="001A17B3">
        <w:rPr>
          <w:rFonts w:asciiTheme="minorHAnsi" w:hAnsiTheme="minorHAnsi"/>
        </w:rPr>
        <w:t xml:space="preserve">, and also take into account public policy </w:t>
      </w:r>
      <w:r w:rsidR="00272B0C">
        <w:rPr>
          <w:rFonts w:asciiTheme="minorHAnsi" w:hAnsiTheme="minorHAnsi"/>
        </w:rPr>
        <w:t>objectives</w:t>
      </w:r>
      <w:r w:rsidR="001A17B3">
        <w:rPr>
          <w:rFonts w:asciiTheme="minorHAnsi" w:hAnsiTheme="minorHAnsi"/>
        </w:rPr>
        <w:t xml:space="preserve"> like financial inclusion</w:t>
      </w:r>
      <w:r w:rsidR="00256BF4" w:rsidRPr="008B10EF">
        <w:rPr>
          <w:rFonts w:asciiTheme="minorHAnsi" w:hAnsiTheme="minorHAnsi"/>
        </w:rPr>
        <w:t>.</w:t>
      </w:r>
      <w:r w:rsidR="00256BF4">
        <w:rPr>
          <w:rFonts w:asciiTheme="minorHAnsi" w:hAnsiTheme="minorHAnsi"/>
        </w:rPr>
        <w:t xml:space="preserve">  </w:t>
      </w:r>
    </w:p>
    <w:p w:rsidR="008A7A0F" w:rsidRDefault="008A7A0F" w:rsidP="00256BF4">
      <w:pPr>
        <w:jc w:val="both"/>
        <w:rPr>
          <w:rFonts w:asciiTheme="minorHAnsi" w:hAnsiTheme="minorHAnsi"/>
        </w:rPr>
      </w:pPr>
      <w:bookmarkStart w:id="0" w:name="_GoBack"/>
      <w:bookmarkEnd w:id="0"/>
    </w:p>
    <w:p w:rsidR="00E44B92" w:rsidRPr="008B10EF" w:rsidRDefault="006B0474" w:rsidP="00E44B92">
      <w:pPr>
        <w:rPr>
          <w:rFonts w:ascii="Calibri" w:eastAsia="Calibri" w:hAnsi="Calibri"/>
          <w:szCs w:val="21"/>
          <w:lang w:eastAsia="en-US"/>
        </w:rPr>
      </w:pPr>
      <w:r>
        <w:rPr>
          <w:rFonts w:ascii="Calibri" w:eastAsia="Calibri" w:hAnsi="Calibri"/>
          <w:szCs w:val="21"/>
          <w:lang w:eastAsia="en-US"/>
        </w:rPr>
        <w:t>Credit union rulebooks typically limit credit unions to engaging primarily in low-risk retail deposit and lending activities in a localised area.  A</w:t>
      </w:r>
      <w:r w:rsidR="00CE327B">
        <w:rPr>
          <w:rFonts w:ascii="Calibri" w:eastAsia="Calibri" w:hAnsi="Calibri"/>
          <w:szCs w:val="21"/>
          <w:lang w:eastAsia="en-US"/>
        </w:rPr>
        <w:t>lthough difficult to quantify, these restrictions reduce a credit unions risks in myriad respects compared to the business activities European commercial banks are permitted to engage in.</w:t>
      </w:r>
    </w:p>
    <w:p w:rsidR="00E44B92" w:rsidRDefault="00E44B92" w:rsidP="00E44B92">
      <w:pPr>
        <w:jc w:val="both"/>
        <w:rPr>
          <w:rFonts w:asciiTheme="minorHAnsi" w:hAnsiTheme="minorHAnsi"/>
        </w:rPr>
      </w:pPr>
    </w:p>
    <w:p w:rsidR="00E44B92" w:rsidRPr="008B10EF" w:rsidRDefault="00BF65D9" w:rsidP="00E44B92">
      <w:pPr>
        <w:jc w:val="both"/>
        <w:rPr>
          <w:rFonts w:asciiTheme="minorHAnsi" w:hAnsiTheme="minorHAnsi"/>
        </w:rPr>
      </w:pPr>
      <w:r>
        <w:rPr>
          <w:rFonts w:asciiTheme="minorHAnsi" w:hAnsiTheme="minorHAnsi"/>
        </w:rPr>
        <w:t xml:space="preserve">We also believe that competent authorities should be able to take into account credit unions’ financial inclusion mission and the desirability of diversity in the financial sector, and </w:t>
      </w:r>
      <w:r w:rsidR="00E30156">
        <w:rPr>
          <w:rFonts w:asciiTheme="minorHAnsi" w:hAnsiTheme="minorHAnsi"/>
        </w:rPr>
        <w:t xml:space="preserve">be able to </w:t>
      </w:r>
      <w:r>
        <w:rPr>
          <w:rFonts w:asciiTheme="minorHAnsi" w:hAnsiTheme="minorHAnsi"/>
        </w:rPr>
        <w:t xml:space="preserve">assign institutions </w:t>
      </w:r>
      <w:r w:rsidR="00B44940">
        <w:rPr>
          <w:rFonts w:asciiTheme="minorHAnsi" w:hAnsiTheme="minorHAnsi"/>
        </w:rPr>
        <w:t>that</w:t>
      </w:r>
      <w:r>
        <w:rPr>
          <w:rFonts w:asciiTheme="minorHAnsi" w:hAnsiTheme="minorHAnsi"/>
        </w:rPr>
        <w:t xml:space="preserve"> promote these public policy goals a lower risk rating in order to further the public good. </w:t>
      </w:r>
      <w:r w:rsidR="00200E9D">
        <w:rPr>
          <w:rFonts w:asciiTheme="minorHAnsi" w:hAnsiTheme="minorHAnsi"/>
        </w:rPr>
        <w:t>National authorities are the best positioned to understand which local financial institutions have a social mission that promotes financial inclusion</w:t>
      </w:r>
      <w:r w:rsidR="00BC5397">
        <w:rPr>
          <w:rFonts w:asciiTheme="minorHAnsi" w:hAnsiTheme="minorHAnsi"/>
        </w:rPr>
        <w:t xml:space="preserve"> and other </w:t>
      </w:r>
      <w:r w:rsidR="0093399C">
        <w:rPr>
          <w:rFonts w:asciiTheme="minorHAnsi" w:hAnsiTheme="minorHAnsi"/>
        </w:rPr>
        <w:t>societal</w:t>
      </w:r>
      <w:r w:rsidR="00BC5397">
        <w:rPr>
          <w:rFonts w:asciiTheme="minorHAnsi" w:hAnsiTheme="minorHAnsi"/>
        </w:rPr>
        <w:t xml:space="preserve"> benefits</w:t>
      </w:r>
      <w:r w:rsidR="00E56939">
        <w:rPr>
          <w:rFonts w:asciiTheme="minorHAnsi" w:hAnsiTheme="minorHAnsi"/>
        </w:rPr>
        <w:t xml:space="preserve">.  National authorities </w:t>
      </w:r>
      <w:r w:rsidR="00E30156">
        <w:rPr>
          <w:rFonts w:asciiTheme="minorHAnsi" w:hAnsiTheme="minorHAnsi"/>
        </w:rPr>
        <w:t xml:space="preserve">are also the </w:t>
      </w:r>
      <w:r w:rsidR="00E56939">
        <w:rPr>
          <w:rFonts w:asciiTheme="minorHAnsi" w:hAnsiTheme="minorHAnsi"/>
        </w:rPr>
        <w:t xml:space="preserve">policymakers </w:t>
      </w:r>
      <w:r w:rsidR="00885DC8">
        <w:rPr>
          <w:rFonts w:asciiTheme="minorHAnsi" w:hAnsiTheme="minorHAnsi"/>
        </w:rPr>
        <w:t xml:space="preserve">who are </w:t>
      </w:r>
      <w:r w:rsidR="00E30156">
        <w:rPr>
          <w:rFonts w:asciiTheme="minorHAnsi" w:hAnsiTheme="minorHAnsi"/>
        </w:rPr>
        <w:t>best positioned</w:t>
      </w:r>
      <w:r w:rsidR="00200E9D">
        <w:rPr>
          <w:rFonts w:asciiTheme="minorHAnsi" w:hAnsiTheme="minorHAnsi"/>
        </w:rPr>
        <w:t xml:space="preserve"> </w:t>
      </w:r>
      <w:r w:rsidR="00C8266F">
        <w:rPr>
          <w:rFonts w:asciiTheme="minorHAnsi" w:hAnsiTheme="minorHAnsi"/>
        </w:rPr>
        <w:t xml:space="preserve">to </w:t>
      </w:r>
      <w:r w:rsidR="001D7253">
        <w:rPr>
          <w:rFonts w:asciiTheme="minorHAnsi" w:hAnsiTheme="minorHAnsi"/>
        </w:rPr>
        <w:t>consider</w:t>
      </w:r>
      <w:r w:rsidR="00C8266F">
        <w:rPr>
          <w:rFonts w:asciiTheme="minorHAnsi" w:hAnsiTheme="minorHAnsi"/>
        </w:rPr>
        <w:t xml:space="preserve"> these</w:t>
      </w:r>
      <w:r w:rsidR="00200E9D">
        <w:rPr>
          <w:rFonts w:asciiTheme="minorHAnsi" w:hAnsiTheme="minorHAnsi"/>
        </w:rPr>
        <w:t xml:space="preserve"> financial institutions’ contributions to civil society </w:t>
      </w:r>
      <w:r w:rsidR="001D7253">
        <w:rPr>
          <w:rFonts w:asciiTheme="minorHAnsi" w:hAnsiTheme="minorHAnsi"/>
        </w:rPr>
        <w:t xml:space="preserve">as a form of value </w:t>
      </w:r>
      <w:r w:rsidR="00200E9D">
        <w:rPr>
          <w:rFonts w:asciiTheme="minorHAnsi" w:hAnsiTheme="minorHAnsi"/>
        </w:rPr>
        <w:t xml:space="preserve">in the context of DGS levies.  </w:t>
      </w:r>
    </w:p>
    <w:p w:rsidR="00E44B92" w:rsidRPr="008B10EF" w:rsidRDefault="00E44B92" w:rsidP="003019A5">
      <w:pPr>
        <w:jc w:val="both"/>
        <w:rPr>
          <w:rFonts w:asciiTheme="minorHAnsi" w:hAnsiTheme="minorHAnsi"/>
        </w:rPr>
      </w:pPr>
    </w:p>
    <w:p w:rsidR="00327C05" w:rsidRPr="008B10EF" w:rsidRDefault="00524824" w:rsidP="00327C05">
      <w:pPr>
        <w:jc w:val="both"/>
        <w:rPr>
          <w:rFonts w:asciiTheme="minorHAnsi" w:hAnsiTheme="minorHAnsi"/>
          <w:szCs w:val="22"/>
        </w:rPr>
      </w:pPr>
      <w:r w:rsidRPr="008B10EF">
        <w:rPr>
          <w:rFonts w:asciiTheme="minorHAnsi" w:hAnsiTheme="minorHAnsi"/>
        </w:rPr>
        <w:t>The ENCU appreciates the opportunity to comment on the EBA</w:t>
      </w:r>
      <w:r w:rsidR="00534DA5">
        <w:rPr>
          <w:rFonts w:asciiTheme="minorHAnsi" w:hAnsiTheme="minorHAnsi"/>
        </w:rPr>
        <w:t>’s</w:t>
      </w:r>
      <w:r w:rsidRPr="008B10EF">
        <w:rPr>
          <w:rFonts w:asciiTheme="minorHAnsi" w:hAnsiTheme="minorHAnsi"/>
        </w:rPr>
        <w:t xml:space="preserve"> draft guidelines on methods for calculating contributions to Deposit Guarantee Schemes</w:t>
      </w:r>
      <w:r>
        <w:rPr>
          <w:rFonts w:asciiTheme="minorHAnsi" w:hAnsiTheme="minorHAnsi"/>
        </w:rPr>
        <w:t xml:space="preserve">.  Please </w:t>
      </w:r>
      <w:r w:rsidR="00327C05" w:rsidRPr="008B10EF">
        <w:rPr>
          <w:rFonts w:asciiTheme="minorHAnsi" w:hAnsiTheme="minorHAnsi"/>
          <w:szCs w:val="22"/>
        </w:rPr>
        <w:t xml:space="preserve">do not hesitate to contact </w:t>
      </w:r>
      <w:r w:rsidR="00C419CD" w:rsidRPr="008B10EF">
        <w:rPr>
          <w:rFonts w:asciiTheme="minorHAnsi" w:hAnsiTheme="minorHAnsi"/>
          <w:szCs w:val="22"/>
        </w:rPr>
        <w:t>me</w:t>
      </w:r>
      <w:r w:rsidR="00327C05" w:rsidRPr="008B10EF">
        <w:rPr>
          <w:rFonts w:asciiTheme="minorHAnsi" w:hAnsiTheme="minorHAnsi"/>
          <w:szCs w:val="22"/>
        </w:rPr>
        <w:t xml:space="preserve"> or </w:t>
      </w:r>
      <w:r w:rsidR="00C419CD" w:rsidRPr="008B10EF">
        <w:rPr>
          <w:rFonts w:asciiTheme="minorHAnsi" w:hAnsiTheme="minorHAnsi"/>
          <w:szCs w:val="22"/>
        </w:rPr>
        <w:t>Jeanette van Eijk</w:t>
      </w:r>
      <w:r w:rsidR="00327C05" w:rsidRPr="008B10EF">
        <w:rPr>
          <w:rFonts w:asciiTheme="minorHAnsi" w:hAnsiTheme="minorHAnsi"/>
          <w:szCs w:val="22"/>
        </w:rPr>
        <w:t xml:space="preserve"> at +32 2 626 9500 should you have any questions regarding our comments.</w:t>
      </w:r>
    </w:p>
    <w:p w:rsidR="00327C05" w:rsidRPr="008B10EF" w:rsidRDefault="00327C05" w:rsidP="00327C05">
      <w:pPr>
        <w:jc w:val="both"/>
        <w:rPr>
          <w:rFonts w:asciiTheme="minorHAnsi" w:hAnsiTheme="minorHAnsi"/>
          <w:szCs w:val="22"/>
        </w:rPr>
      </w:pPr>
    </w:p>
    <w:p w:rsidR="002A02B4" w:rsidRPr="008B10EF" w:rsidRDefault="00327C05" w:rsidP="002A02B4">
      <w:pPr>
        <w:rPr>
          <w:rFonts w:asciiTheme="minorHAnsi" w:hAnsiTheme="minorHAnsi"/>
        </w:rPr>
      </w:pPr>
      <w:r w:rsidRPr="008B10EF">
        <w:rPr>
          <w:rFonts w:asciiTheme="minorHAnsi" w:hAnsiTheme="minorHAnsi"/>
          <w:szCs w:val="22"/>
        </w:rPr>
        <w:t>Sincerely,</w:t>
      </w:r>
    </w:p>
    <w:p w:rsidR="002A02B4" w:rsidRPr="008B10EF" w:rsidRDefault="002A02B4" w:rsidP="002A02B4">
      <w:pPr>
        <w:rPr>
          <w:rFonts w:asciiTheme="minorHAnsi" w:hAnsiTheme="minorHAnsi"/>
        </w:rPr>
      </w:pPr>
    </w:p>
    <w:p w:rsidR="002A02B4" w:rsidRPr="008B10EF" w:rsidRDefault="00327C05" w:rsidP="002A02B4">
      <w:pPr>
        <w:rPr>
          <w:rFonts w:asciiTheme="minorHAnsi" w:hAnsiTheme="minorHAnsi"/>
        </w:rPr>
      </w:pPr>
      <w:r w:rsidRPr="008B10EF">
        <w:rPr>
          <w:rFonts w:asciiTheme="minorHAnsi" w:hAnsiTheme="minorHAnsi"/>
          <w:noProof/>
          <w:color w:val="000000"/>
          <w:sz w:val="24"/>
          <w:lang w:val="en-US" w:eastAsia="en-US"/>
        </w:rPr>
        <w:drawing>
          <wp:inline distT="0" distB="0" distL="0" distR="0" wp14:anchorId="13B36952" wp14:editId="64DC3DC3">
            <wp:extent cx="21907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ael Edward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268" cy="419964"/>
                    </a:xfrm>
                    <a:prstGeom prst="rect">
                      <a:avLst/>
                    </a:prstGeom>
                  </pic:spPr>
                </pic:pic>
              </a:graphicData>
            </a:graphic>
          </wp:inline>
        </w:drawing>
      </w:r>
      <w:r w:rsidR="00103686" w:rsidRPr="008B10EF">
        <w:rPr>
          <w:rFonts w:asciiTheme="minorHAnsi" w:hAnsiTheme="minorHAnsi"/>
        </w:rPr>
        <w:tab/>
      </w:r>
      <w:r w:rsidR="00103686" w:rsidRPr="008B10EF">
        <w:rPr>
          <w:rFonts w:asciiTheme="minorHAnsi" w:hAnsiTheme="minorHAnsi"/>
        </w:rPr>
        <w:tab/>
      </w:r>
      <w:r w:rsidR="00103686" w:rsidRPr="008B10EF">
        <w:rPr>
          <w:rFonts w:asciiTheme="minorHAnsi" w:hAnsiTheme="minorHAnsi"/>
        </w:rPr>
        <w:tab/>
      </w:r>
      <w:r w:rsidR="00103686" w:rsidRPr="008B10EF">
        <w:rPr>
          <w:rFonts w:asciiTheme="minorHAnsi" w:hAnsiTheme="minorHAnsi"/>
        </w:rPr>
        <w:tab/>
      </w:r>
    </w:p>
    <w:p w:rsidR="002A02B4" w:rsidRPr="008B10EF" w:rsidRDefault="002A02B4" w:rsidP="002A02B4">
      <w:pPr>
        <w:rPr>
          <w:rFonts w:asciiTheme="minorHAnsi" w:hAnsiTheme="minorHAnsi"/>
        </w:rPr>
      </w:pPr>
      <w:r w:rsidRPr="008B10EF">
        <w:rPr>
          <w:rFonts w:asciiTheme="minorHAnsi" w:hAnsiTheme="minorHAnsi"/>
        </w:rPr>
        <w:t>Michael</w:t>
      </w:r>
      <w:r w:rsidR="00990C7A">
        <w:rPr>
          <w:rFonts w:asciiTheme="minorHAnsi" w:hAnsiTheme="minorHAnsi"/>
        </w:rPr>
        <w:t xml:space="preserve"> S.</w:t>
      </w:r>
      <w:r w:rsidRPr="008B10EF">
        <w:rPr>
          <w:rFonts w:asciiTheme="minorHAnsi" w:hAnsiTheme="minorHAnsi"/>
        </w:rPr>
        <w:t xml:space="preserve"> Edwards </w:t>
      </w:r>
      <w:r w:rsidRPr="008B10EF">
        <w:rPr>
          <w:rFonts w:asciiTheme="minorHAnsi" w:hAnsiTheme="minorHAnsi"/>
        </w:rPr>
        <w:tab/>
      </w:r>
      <w:r w:rsidRPr="008B10EF">
        <w:rPr>
          <w:rFonts w:asciiTheme="minorHAnsi" w:hAnsiTheme="minorHAnsi"/>
        </w:rPr>
        <w:tab/>
      </w:r>
      <w:r w:rsidRPr="008B10EF">
        <w:rPr>
          <w:rFonts w:asciiTheme="minorHAnsi" w:hAnsiTheme="minorHAnsi"/>
        </w:rPr>
        <w:tab/>
      </w:r>
      <w:r w:rsidRPr="008B10EF">
        <w:rPr>
          <w:rFonts w:asciiTheme="minorHAnsi" w:hAnsiTheme="minorHAnsi"/>
        </w:rPr>
        <w:tab/>
      </w:r>
      <w:r w:rsidRPr="008B10EF">
        <w:rPr>
          <w:rFonts w:asciiTheme="minorHAnsi" w:hAnsiTheme="minorHAnsi"/>
        </w:rPr>
        <w:tab/>
      </w:r>
      <w:r w:rsidRPr="008B10EF">
        <w:rPr>
          <w:rFonts w:asciiTheme="minorHAnsi" w:hAnsiTheme="minorHAnsi"/>
        </w:rPr>
        <w:tab/>
      </w:r>
      <w:r w:rsidRPr="008B10EF">
        <w:rPr>
          <w:rFonts w:asciiTheme="minorHAnsi" w:hAnsiTheme="minorHAnsi"/>
        </w:rPr>
        <w:tab/>
      </w:r>
      <w:r w:rsidRPr="008B10EF">
        <w:rPr>
          <w:rFonts w:asciiTheme="minorHAnsi" w:hAnsiTheme="minorHAnsi"/>
        </w:rPr>
        <w:tab/>
      </w:r>
      <w:r w:rsidRPr="008B10EF">
        <w:rPr>
          <w:rFonts w:asciiTheme="minorHAnsi" w:hAnsiTheme="minorHAnsi"/>
        </w:rPr>
        <w:tab/>
      </w:r>
    </w:p>
    <w:p w:rsidR="002A02B4" w:rsidRPr="008B10EF" w:rsidRDefault="002A02B4" w:rsidP="002A02B4">
      <w:pPr>
        <w:rPr>
          <w:rFonts w:asciiTheme="minorHAnsi" w:hAnsiTheme="minorHAnsi"/>
        </w:rPr>
      </w:pPr>
      <w:r w:rsidRPr="008B10EF">
        <w:rPr>
          <w:rFonts w:asciiTheme="minorHAnsi" w:hAnsiTheme="minorHAnsi"/>
        </w:rPr>
        <w:t xml:space="preserve">Vice President and </w:t>
      </w:r>
      <w:r w:rsidR="00C419CD" w:rsidRPr="008B10EF">
        <w:rPr>
          <w:rFonts w:asciiTheme="minorHAnsi" w:hAnsiTheme="minorHAnsi"/>
        </w:rPr>
        <w:t>General</w:t>
      </w:r>
      <w:r w:rsidRPr="008B10EF">
        <w:rPr>
          <w:rFonts w:asciiTheme="minorHAnsi" w:hAnsiTheme="minorHAnsi"/>
        </w:rPr>
        <w:t xml:space="preserve"> Counsel</w:t>
      </w:r>
      <w:r w:rsidRPr="008B10EF">
        <w:rPr>
          <w:rFonts w:asciiTheme="minorHAnsi" w:hAnsiTheme="minorHAnsi"/>
        </w:rPr>
        <w:tab/>
      </w:r>
      <w:r w:rsidRPr="008B10EF">
        <w:rPr>
          <w:rFonts w:asciiTheme="minorHAnsi" w:hAnsiTheme="minorHAnsi"/>
        </w:rPr>
        <w:tab/>
      </w:r>
      <w:r w:rsidRPr="008B10EF">
        <w:rPr>
          <w:rFonts w:asciiTheme="minorHAnsi" w:hAnsiTheme="minorHAnsi"/>
        </w:rPr>
        <w:tab/>
      </w:r>
      <w:r w:rsidRPr="008B10EF">
        <w:rPr>
          <w:rFonts w:asciiTheme="minorHAnsi" w:hAnsiTheme="minorHAnsi"/>
        </w:rPr>
        <w:tab/>
      </w:r>
    </w:p>
    <w:p w:rsidR="00C419CD" w:rsidRPr="008B10EF" w:rsidRDefault="00C419CD" w:rsidP="002A02B4">
      <w:pPr>
        <w:rPr>
          <w:rFonts w:asciiTheme="minorHAnsi" w:hAnsiTheme="minorHAnsi"/>
        </w:rPr>
      </w:pPr>
      <w:r w:rsidRPr="008B10EF">
        <w:rPr>
          <w:rFonts w:asciiTheme="minorHAnsi" w:hAnsiTheme="minorHAnsi"/>
        </w:rPr>
        <w:t>European Network of Credit Unions</w:t>
      </w:r>
    </w:p>
    <w:p w:rsidR="007C57C0" w:rsidRPr="008B10EF" w:rsidRDefault="00524824" w:rsidP="002A02B4">
      <w:pPr>
        <w:rPr>
          <w:rFonts w:asciiTheme="minorHAnsi" w:hAnsiTheme="minorHAnsi"/>
          <w:b/>
          <w:sz w:val="28"/>
          <w:szCs w:val="28"/>
        </w:rPr>
      </w:pPr>
      <w:r>
        <w:rPr>
          <w:rFonts w:asciiTheme="minorHAnsi" w:hAnsiTheme="minorHAnsi"/>
        </w:rPr>
        <w:t>World Council of Credit Unions</w:t>
      </w:r>
    </w:p>
    <w:sectPr w:rsidR="007C57C0" w:rsidRPr="008B10EF" w:rsidSect="00614DF6">
      <w:headerReference w:type="default" r:id="rId10"/>
      <w:footerReference w:type="default" r:id="rId11"/>
      <w:headerReference w:type="first" r:id="rId12"/>
      <w:footerReference w:type="first" r:id="rId13"/>
      <w:pgSz w:w="11909" w:h="16834" w:code="9"/>
      <w:pgMar w:top="360" w:right="108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7D" w:rsidRDefault="0088737D">
      <w:r>
        <w:separator/>
      </w:r>
    </w:p>
  </w:endnote>
  <w:endnote w:type="continuationSeparator" w:id="0">
    <w:p w:rsidR="0088737D" w:rsidRDefault="0088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7803"/>
      <w:docPartObj>
        <w:docPartGallery w:val="Page Numbers (Bottom of Page)"/>
        <w:docPartUnique/>
      </w:docPartObj>
    </w:sdtPr>
    <w:sdtEndPr>
      <w:rPr>
        <w:rFonts w:asciiTheme="minorHAnsi" w:hAnsiTheme="minorHAnsi"/>
        <w:sz w:val="20"/>
        <w:szCs w:val="20"/>
      </w:rPr>
    </w:sdtEndPr>
    <w:sdtContent>
      <w:p w:rsidR="00DA6887" w:rsidRDefault="00DA6887">
        <w:pPr>
          <w:pStyle w:val="Footer"/>
          <w:jc w:val="center"/>
        </w:pPr>
        <w:r w:rsidRPr="005022B1">
          <w:rPr>
            <w:rFonts w:asciiTheme="minorHAnsi" w:hAnsiTheme="minorHAnsi"/>
            <w:sz w:val="20"/>
            <w:szCs w:val="20"/>
          </w:rPr>
          <w:fldChar w:fldCharType="begin"/>
        </w:r>
        <w:r w:rsidRPr="005022B1">
          <w:rPr>
            <w:rFonts w:asciiTheme="minorHAnsi" w:hAnsiTheme="minorHAnsi"/>
            <w:sz w:val="20"/>
            <w:szCs w:val="20"/>
          </w:rPr>
          <w:instrText xml:space="preserve"> PAGE   \* MERGEFORMAT </w:instrText>
        </w:r>
        <w:r w:rsidRPr="005022B1">
          <w:rPr>
            <w:rFonts w:asciiTheme="minorHAnsi" w:hAnsiTheme="minorHAnsi"/>
            <w:sz w:val="20"/>
            <w:szCs w:val="20"/>
          </w:rPr>
          <w:fldChar w:fldCharType="separate"/>
        </w:r>
        <w:r w:rsidR="008A7A0F">
          <w:rPr>
            <w:rFonts w:asciiTheme="minorHAnsi" w:hAnsiTheme="minorHAnsi"/>
            <w:noProof/>
            <w:sz w:val="20"/>
            <w:szCs w:val="20"/>
          </w:rPr>
          <w:t>6</w:t>
        </w:r>
        <w:r w:rsidRPr="005022B1">
          <w:rPr>
            <w:rFonts w:asciiTheme="minorHAnsi" w:hAnsiTheme="minorHAnsi"/>
            <w:sz w:val="20"/>
            <w:szCs w:val="20"/>
          </w:rPr>
          <w:fldChar w:fldCharType="end"/>
        </w:r>
      </w:p>
    </w:sdtContent>
  </w:sdt>
  <w:p w:rsidR="00DA6887" w:rsidRDefault="00DA6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87" w:rsidRDefault="00DA6887" w:rsidP="0022212D">
    <w:pPr>
      <w:pStyle w:val="Footer"/>
      <w:rPr>
        <w:rFonts w:ascii="Garamond" w:hAnsi="Garamond"/>
        <w:color w:val="004578"/>
        <w:sz w:val="18"/>
        <w:szCs w:val="18"/>
        <w:lang w:val="fr-FR"/>
      </w:rPr>
    </w:pPr>
    <w:r>
      <w:rPr>
        <w:rFonts w:ascii="Garamond" w:hAnsi="Garamond"/>
        <w:color w:val="004578"/>
        <w:sz w:val="18"/>
        <w:szCs w:val="18"/>
        <w:lang w:val="fr-FR"/>
      </w:rPr>
      <w:t xml:space="preserve">Ru du Trône 60, 1st </w:t>
    </w:r>
    <w:proofErr w:type="spellStart"/>
    <w:r>
      <w:rPr>
        <w:rFonts w:ascii="Garamond" w:hAnsi="Garamond"/>
        <w:color w:val="004578"/>
        <w:sz w:val="18"/>
        <w:szCs w:val="18"/>
        <w:lang w:val="fr-FR"/>
      </w:rPr>
      <w:t>Floor</w:t>
    </w:r>
    <w:proofErr w:type="spellEnd"/>
  </w:p>
  <w:p w:rsidR="00DA6887" w:rsidRPr="00614DF6" w:rsidRDefault="00DA6887" w:rsidP="0022212D">
    <w:pPr>
      <w:pStyle w:val="Footer"/>
      <w:rPr>
        <w:rFonts w:ascii="Garamond" w:hAnsi="Garamond"/>
        <w:color w:val="004578"/>
        <w:sz w:val="18"/>
        <w:szCs w:val="18"/>
        <w:lang w:val="fr-FR"/>
      </w:rPr>
    </w:pPr>
    <w:r w:rsidRPr="00614DF6">
      <w:rPr>
        <w:rFonts w:ascii="Garamond" w:hAnsi="Garamond"/>
        <w:color w:val="004578"/>
        <w:sz w:val="18"/>
        <w:szCs w:val="18"/>
        <w:lang w:val="fr-FR"/>
      </w:rPr>
      <w:t>Brussels</w:t>
    </w:r>
    <w:r>
      <w:rPr>
        <w:rFonts w:ascii="Garamond" w:hAnsi="Garamond"/>
        <w:color w:val="004578"/>
        <w:sz w:val="18"/>
        <w:szCs w:val="18"/>
        <w:lang w:val="fr-FR"/>
      </w:rPr>
      <w:t xml:space="preserve"> 1050</w:t>
    </w:r>
  </w:p>
  <w:p w:rsidR="00DA6887" w:rsidRPr="00614DF6" w:rsidRDefault="00DA6887" w:rsidP="0022212D">
    <w:pPr>
      <w:pStyle w:val="Footer"/>
      <w:rPr>
        <w:rFonts w:ascii="Garamond" w:hAnsi="Garamond"/>
        <w:color w:val="004578"/>
        <w:sz w:val="18"/>
        <w:szCs w:val="18"/>
        <w:lang w:val="fr-FR"/>
      </w:rPr>
    </w:pPr>
    <w:proofErr w:type="spellStart"/>
    <w:r w:rsidRPr="00614DF6">
      <w:rPr>
        <w:rFonts w:ascii="Garamond" w:hAnsi="Garamond"/>
        <w:color w:val="004578"/>
        <w:sz w:val="18"/>
        <w:szCs w:val="18"/>
        <w:lang w:val="fr-FR"/>
      </w:rPr>
      <w:t>Belgium</w:t>
    </w:r>
    <w:proofErr w:type="spellEnd"/>
  </w:p>
  <w:p w:rsidR="00DA6887" w:rsidRPr="00614DF6" w:rsidRDefault="00DA6887" w:rsidP="0022212D">
    <w:pPr>
      <w:pStyle w:val="Footer"/>
      <w:rPr>
        <w:rFonts w:ascii="Garamond" w:hAnsi="Garamond"/>
        <w:color w:val="004578"/>
        <w:sz w:val="18"/>
        <w:szCs w:val="18"/>
        <w:lang w:val="fr-FR"/>
      </w:rPr>
    </w:pPr>
  </w:p>
  <w:p w:rsidR="00DA6887" w:rsidRPr="00614DF6" w:rsidRDefault="00DA6887" w:rsidP="0022212D">
    <w:pPr>
      <w:pStyle w:val="Footer"/>
      <w:rPr>
        <w:rFonts w:ascii="Garamond" w:hAnsi="Garamond"/>
        <w:color w:val="004578"/>
        <w:sz w:val="18"/>
        <w:szCs w:val="18"/>
      </w:rPr>
    </w:pPr>
    <w:r w:rsidRPr="00614DF6">
      <w:rPr>
        <w:rFonts w:ascii="Garamond" w:hAnsi="Garamond"/>
        <w:color w:val="004578"/>
        <w:sz w:val="18"/>
        <w:szCs w:val="18"/>
      </w:rPr>
      <w:t>Tel: +32 2 626 9500</w:t>
    </w:r>
  </w:p>
  <w:p w:rsidR="00DA6887" w:rsidRPr="00614DF6" w:rsidRDefault="00DA6887" w:rsidP="0022212D">
    <w:pPr>
      <w:pStyle w:val="Footer"/>
      <w:rPr>
        <w:rFonts w:ascii="Garamond" w:hAnsi="Garamond"/>
        <w:color w:val="004578"/>
        <w:sz w:val="18"/>
        <w:szCs w:val="18"/>
      </w:rPr>
    </w:pPr>
    <w:r w:rsidRPr="00614DF6">
      <w:rPr>
        <w:rFonts w:ascii="Garamond" w:hAnsi="Garamond"/>
        <w:color w:val="004578"/>
        <w:sz w:val="18"/>
        <w:szCs w:val="18"/>
      </w:rPr>
      <w:t>Fax: +32 2 626 9501</w:t>
    </w:r>
  </w:p>
  <w:p w:rsidR="00DA6887" w:rsidRPr="00614DF6" w:rsidRDefault="00DA6887" w:rsidP="0022212D">
    <w:pPr>
      <w:pStyle w:val="Footer"/>
      <w:rPr>
        <w:rFonts w:ascii="Garamond" w:hAnsi="Garamond"/>
        <w:color w:val="004578"/>
        <w:sz w:val="18"/>
        <w:szCs w:val="18"/>
      </w:rPr>
    </w:pPr>
    <w:r w:rsidRPr="00614DF6">
      <w:rPr>
        <w:rFonts w:ascii="Garamond" w:hAnsi="Garamond"/>
        <w:color w:val="004578"/>
        <w:sz w:val="18"/>
        <w:szCs w:val="18"/>
      </w:rPr>
      <w:t>info@creditunionnetwork.eu</w:t>
    </w:r>
  </w:p>
  <w:p w:rsidR="00DA6887" w:rsidRPr="0022212D" w:rsidRDefault="00DA6887" w:rsidP="0022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7D" w:rsidRDefault="0088737D">
      <w:r>
        <w:separator/>
      </w:r>
    </w:p>
  </w:footnote>
  <w:footnote w:type="continuationSeparator" w:id="0">
    <w:p w:rsidR="0088737D" w:rsidRDefault="0088737D">
      <w:r>
        <w:continuationSeparator/>
      </w:r>
    </w:p>
  </w:footnote>
  <w:footnote w:id="1">
    <w:p w:rsidR="00DA6887" w:rsidRPr="003324FC" w:rsidRDefault="00DA6887" w:rsidP="003324FC">
      <w:pPr>
        <w:pStyle w:val="FootnoteText"/>
        <w:rPr>
          <w:rFonts w:asciiTheme="minorHAnsi" w:hAnsiTheme="minorHAnsi"/>
          <w:lang w:val="en-US"/>
        </w:rPr>
      </w:pPr>
      <w:r w:rsidRPr="003324FC">
        <w:rPr>
          <w:rStyle w:val="FootnoteReference"/>
          <w:rFonts w:asciiTheme="minorHAnsi" w:hAnsiTheme="minorHAnsi"/>
        </w:rPr>
        <w:footnoteRef/>
      </w:r>
      <w:r w:rsidR="003324FC" w:rsidRPr="003324FC">
        <w:rPr>
          <w:rFonts w:asciiTheme="minorHAnsi" w:hAnsiTheme="minorHAnsi"/>
        </w:rPr>
        <w:t xml:space="preserve"> European Banking Authority, </w:t>
      </w:r>
      <w:r w:rsidR="003324FC" w:rsidRPr="003324FC">
        <w:rPr>
          <w:rFonts w:asciiTheme="minorHAnsi" w:hAnsiTheme="minorHAnsi"/>
          <w:i/>
        </w:rPr>
        <w:t xml:space="preserve">Draft Guidelines on methods for calculating contributions to Deposit Guarantee Schemes: Consultation Paper </w:t>
      </w:r>
      <w:r w:rsidR="003324FC" w:rsidRPr="003324FC">
        <w:rPr>
          <w:rFonts w:asciiTheme="minorHAnsi" w:hAnsiTheme="minorHAnsi"/>
        </w:rPr>
        <w:t xml:space="preserve">(Nov. 2014), </w:t>
      </w:r>
      <w:r w:rsidR="003324FC" w:rsidRPr="003324FC">
        <w:rPr>
          <w:rFonts w:asciiTheme="minorHAnsi" w:hAnsiTheme="minorHAnsi"/>
          <w:i/>
        </w:rPr>
        <w:t>available at</w:t>
      </w:r>
      <w:r w:rsidRPr="003324FC">
        <w:rPr>
          <w:rFonts w:asciiTheme="minorHAnsi" w:hAnsiTheme="minorHAnsi"/>
        </w:rPr>
        <w:t xml:space="preserve"> </w:t>
      </w:r>
      <w:hyperlink r:id="rId1" w:history="1">
        <w:r w:rsidR="00582D26" w:rsidRPr="003324FC">
          <w:rPr>
            <w:rStyle w:val="Hyperlink"/>
            <w:rFonts w:asciiTheme="minorHAnsi" w:hAnsiTheme="minorHAnsi"/>
          </w:rPr>
          <w:t>https://www.eba.europa.eu/news-press/calendar?p_p_auth=Dfa70b8h&amp;p_p_id=8&amp;p_p_lifecycle=0&amp;p_p_state=normal&amp;p_p_mode=view&amp;_8_struts_action=%2Fcalendar%2Fview_event&amp;_8_eventId=887889</w:t>
        </w:r>
      </w:hyperlink>
      <w:r w:rsidR="00582D26" w:rsidRPr="003324FC">
        <w:rPr>
          <w:rFonts w:asciiTheme="minorHAnsi" w:hAnsiTheme="minorHAnsi"/>
        </w:rPr>
        <w:t xml:space="preserve"> </w:t>
      </w:r>
    </w:p>
  </w:footnote>
  <w:footnote w:id="2">
    <w:p w:rsidR="00566575" w:rsidRPr="00566575" w:rsidRDefault="00566575">
      <w:pPr>
        <w:pStyle w:val="FootnoteText"/>
      </w:pPr>
      <w:r>
        <w:rPr>
          <w:rStyle w:val="FootnoteReference"/>
        </w:rPr>
        <w:footnoteRef/>
      </w:r>
      <w:r>
        <w:t xml:space="preserve"> </w:t>
      </w:r>
      <w:r w:rsidRPr="003324FC">
        <w:rPr>
          <w:rFonts w:asciiTheme="minorHAnsi" w:hAnsiTheme="minorHAnsi"/>
          <w:i/>
        </w:rPr>
        <w:t>Directive</w:t>
      </w:r>
      <w:r>
        <w:t xml:space="preserve"> </w:t>
      </w:r>
      <w:r w:rsidRPr="00566575">
        <w:rPr>
          <w:rFonts w:asciiTheme="minorHAnsi" w:hAnsiTheme="minorHAnsi"/>
          <w:i/>
        </w:rPr>
        <w:t>2014/49/EU</w:t>
      </w:r>
      <w:r>
        <w:t xml:space="preserve"> </w:t>
      </w:r>
      <w:r w:rsidRPr="003324FC">
        <w:rPr>
          <w:rFonts w:asciiTheme="minorHAnsi" w:hAnsiTheme="minorHAnsi"/>
          <w:i/>
        </w:rPr>
        <w:t>of the European Parliament and of the Council of</w:t>
      </w:r>
      <w:r>
        <w:rPr>
          <w:rFonts w:asciiTheme="minorHAnsi" w:hAnsiTheme="minorHAnsi"/>
          <w:i/>
        </w:rPr>
        <w:t xml:space="preserve"> 16 April 2014 on d</w:t>
      </w:r>
      <w:r w:rsidRPr="00566575">
        <w:rPr>
          <w:rFonts w:asciiTheme="minorHAnsi" w:hAnsiTheme="minorHAnsi"/>
          <w:i/>
        </w:rPr>
        <w:t>eposit guarantee schemes</w:t>
      </w:r>
      <w:r w:rsidR="00E96417">
        <w:rPr>
          <w:rFonts w:asciiTheme="minorHAnsi" w:hAnsiTheme="minorHAnsi"/>
        </w:rPr>
        <w:t xml:space="preserve">, </w:t>
      </w:r>
      <w:r w:rsidR="00E96417" w:rsidRPr="003324FC">
        <w:rPr>
          <w:rFonts w:asciiTheme="minorHAnsi" w:hAnsiTheme="minorHAnsi"/>
        </w:rPr>
        <w:t>201</w:t>
      </w:r>
      <w:r w:rsidR="00E96417">
        <w:rPr>
          <w:rFonts w:asciiTheme="minorHAnsi" w:hAnsiTheme="minorHAnsi"/>
        </w:rPr>
        <w:t>4 O.J. (L</w:t>
      </w:r>
      <w:r w:rsidR="00CB2ABD">
        <w:rPr>
          <w:rFonts w:asciiTheme="minorHAnsi" w:hAnsiTheme="minorHAnsi"/>
        </w:rPr>
        <w:t xml:space="preserve"> </w:t>
      </w:r>
      <w:r w:rsidR="00E96417">
        <w:rPr>
          <w:rFonts w:asciiTheme="minorHAnsi" w:hAnsiTheme="minorHAnsi"/>
        </w:rPr>
        <w:t>173) 149</w:t>
      </w:r>
      <w:r>
        <w:rPr>
          <w:rFonts w:asciiTheme="minorHAnsi" w:hAnsiTheme="minorHAnsi"/>
        </w:rPr>
        <w:t xml:space="preserve">, </w:t>
      </w:r>
      <w:r>
        <w:rPr>
          <w:rFonts w:asciiTheme="minorHAnsi" w:hAnsiTheme="minorHAnsi"/>
          <w:i/>
        </w:rPr>
        <w:t xml:space="preserve">available at </w:t>
      </w:r>
      <w:hyperlink r:id="rId2" w:history="1">
        <w:r w:rsidR="001568DA" w:rsidRPr="00BA437A">
          <w:rPr>
            <w:rStyle w:val="Hyperlink"/>
            <w:rFonts w:asciiTheme="minorHAnsi" w:hAnsiTheme="minorHAnsi"/>
          </w:rPr>
          <w:t>http://eur-lex.europa.eu/legal-content/EN/TXT/?uri=CELEX:32014L0049</w:t>
        </w:r>
      </w:hyperlink>
      <w:r>
        <w:rPr>
          <w:rFonts w:asciiTheme="minorHAnsi" w:hAnsiTheme="minorHAnsi"/>
        </w:rPr>
        <w:t xml:space="preserve">. </w:t>
      </w:r>
    </w:p>
  </w:footnote>
  <w:footnote w:id="3">
    <w:p w:rsidR="00DA6887" w:rsidRPr="003324FC" w:rsidRDefault="00DA6887">
      <w:pPr>
        <w:pStyle w:val="FootnoteText"/>
        <w:rPr>
          <w:rFonts w:asciiTheme="minorHAnsi" w:hAnsiTheme="minorHAnsi"/>
          <w:lang w:val="en-US"/>
        </w:rPr>
      </w:pPr>
      <w:r w:rsidRPr="003324FC">
        <w:rPr>
          <w:rStyle w:val="FootnoteReference"/>
          <w:rFonts w:asciiTheme="minorHAnsi" w:hAnsiTheme="minorHAnsi"/>
        </w:rPr>
        <w:footnoteRef/>
      </w:r>
      <w:r w:rsidRPr="003324FC">
        <w:rPr>
          <w:rFonts w:asciiTheme="minorHAnsi" w:hAnsiTheme="minorHAnsi"/>
        </w:rPr>
        <w:t xml:space="preserve"> </w:t>
      </w:r>
      <w:r w:rsidR="003324FC" w:rsidRPr="003324FC">
        <w:rPr>
          <w:rFonts w:asciiTheme="minorHAnsi" w:hAnsiTheme="minorHAnsi"/>
          <w:i/>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rsidR="003324FC" w:rsidRPr="003324FC">
        <w:rPr>
          <w:rFonts w:asciiTheme="minorHAnsi" w:hAnsiTheme="minorHAnsi"/>
        </w:rPr>
        <w:t>, Article 2(5)</w:t>
      </w:r>
      <w:r w:rsidR="001568DA">
        <w:rPr>
          <w:rFonts w:asciiTheme="minorHAnsi" w:hAnsiTheme="minorHAnsi"/>
        </w:rPr>
        <w:t xml:space="preserve">, </w:t>
      </w:r>
      <w:r w:rsidR="003324FC" w:rsidRPr="003324FC">
        <w:rPr>
          <w:rFonts w:asciiTheme="minorHAnsi" w:hAnsiTheme="minorHAnsi"/>
        </w:rPr>
        <w:t>2013</w:t>
      </w:r>
      <w:r w:rsidR="001568DA">
        <w:rPr>
          <w:rFonts w:asciiTheme="minorHAnsi" w:hAnsiTheme="minorHAnsi"/>
        </w:rPr>
        <w:t xml:space="preserve"> O.J. (L 176) 338</w:t>
      </w:r>
      <w:r w:rsidR="003324FC" w:rsidRPr="003324FC">
        <w:rPr>
          <w:rFonts w:asciiTheme="minorHAnsi" w:hAnsiTheme="minorHAnsi"/>
        </w:rPr>
        <w:t xml:space="preserve">, </w:t>
      </w:r>
      <w:r w:rsidR="003324FC" w:rsidRPr="003324FC">
        <w:rPr>
          <w:rFonts w:asciiTheme="minorHAnsi" w:hAnsiTheme="minorHAnsi"/>
          <w:i/>
        </w:rPr>
        <w:t>available at</w:t>
      </w:r>
      <w:r w:rsidR="003324FC" w:rsidRPr="003324FC">
        <w:rPr>
          <w:rFonts w:asciiTheme="minorHAnsi" w:hAnsiTheme="minorHAnsi"/>
        </w:rPr>
        <w:t xml:space="preserve"> </w:t>
      </w:r>
      <w:hyperlink r:id="rId3" w:history="1">
        <w:r w:rsidR="003324FC" w:rsidRPr="003324FC">
          <w:rPr>
            <w:rStyle w:val="Hyperlink"/>
            <w:rFonts w:asciiTheme="minorHAnsi" w:hAnsiTheme="minorHAnsi"/>
          </w:rPr>
          <w:t>http://ec.europa.eu/internal_market/bank/regcapital/legislation-in-force/index_en.htm</w:t>
        </w:r>
      </w:hyperlink>
      <w:r w:rsidR="003324FC" w:rsidRPr="003324FC">
        <w:rPr>
          <w:rFonts w:asciiTheme="minorHAnsi" w:hAnsiTheme="minorHAnsi"/>
        </w:rPr>
        <w:t xml:space="preserve">.   </w:t>
      </w:r>
    </w:p>
  </w:footnote>
  <w:footnote w:id="4">
    <w:p w:rsidR="00DA6887" w:rsidRPr="003324FC" w:rsidRDefault="00DA6887">
      <w:pPr>
        <w:pStyle w:val="FootnoteText"/>
        <w:rPr>
          <w:rFonts w:asciiTheme="minorHAnsi" w:hAnsiTheme="minorHAnsi"/>
          <w:lang w:val="en-US"/>
        </w:rPr>
      </w:pPr>
      <w:r w:rsidRPr="003324FC">
        <w:rPr>
          <w:rStyle w:val="FootnoteReference"/>
          <w:rFonts w:asciiTheme="minorHAnsi" w:hAnsiTheme="minorHAnsi"/>
        </w:rPr>
        <w:footnoteRef/>
      </w:r>
      <w:r w:rsidRPr="003324FC">
        <w:rPr>
          <w:rFonts w:asciiTheme="minorHAnsi" w:hAnsiTheme="minorHAnsi"/>
        </w:rPr>
        <w:t xml:space="preserve"> </w:t>
      </w:r>
      <w:proofErr w:type="gramStart"/>
      <w:r w:rsidR="003324FC" w:rsidRPr="003324FC">
        <w:rPr>
          <w:rFonts w:asciiTheme="minorHAnsi" w:hAnsiTheme="minorHAnsi"/>
        </w:rPr>
        <w:t xml:space="preserve">European Network of Credit Unions, “Credit Unions in Europe”; </w:t>
      </w:r>
      <w:hyperlink r:id="rId4" w:history="1">
        <w:r w:rsidR="00582D26" w:rsidRPr="003324FC">
          <w:rPr>
            <w:rStyle w:val="Hyperlink"/>
            <w:rFonts w:asciiTheme="minorHAnsi" w:hAnsiTheme="minorHAnsi"/>
          </w:rPr>
          <w:t>http://www.creditunionnetwork.eu/cus_in_europe</w:t>
        </w:r>
      </w:hyperlink>
      <w:r w:rsidR="003324FC" w:rsidRPr="003324FC">
        <w:rPr>
          <w:rFonts w:asciiTheme="minorHAnsi" w:hAnsiTheme="minorHAnsi"/>
        </w:rPr>
        <w:t>.</w:t>
      </w:r>
      <w:proofErr w:type="gramEnd"/>
      <w:r w:rsidR="00582D26" w:rsidRPr="003324FC">
        <w:rPr>
          <w:rFonts w:asciiTheme="minorHAnsi" w:hAnsiTheme="minorHAnsi"/>
        </w:rPr>
        <w:t xml:space="preserve"> </w:t>
      </w:r>
    </w:p>
  </w:footnote>
  <w:footnote w:id="5">
    <w:p w:rsidR="00DA6887" w:rsidRPr="003324FC" w:rsidRDefault="00DA6887" w:rsidP="006131B5">
      <w:pPr>
        <w:pStyle w:val="FootnoteText"/>
        <w:rPr>
          <w:rFonts w:asciiTheme="minorHAnsi" w:hAnsiTheme="minorHAnsi"/>
          <w:lang w:val="en-US"/>
        </w:rPr>
      </w:pPr>
      <w:r w:rsidRPr="003324FC">
        <w:rPr>
          <w:rStyle w:val="FootnoteReference"/>
          <w:rFonts w:asciiTheme="minorHAnsi" w:hAnsiTheme="minorHAnsi"/>
        </w:rPr>
        <w:footnoteRef/>
      </w:r>
      <w:r w:rsidRPr="003324FC">
        <w:rPr>
          <w:rFonts w:asciiTheme="minorHAnsi" w:hAnsiTheme="minorHAnsi"/>
        </w:rPr>
        <w:t xml:space="preserve"> </w:t>
      </w:r>
      <w:proofErr w:type="gramStart"/>
      <w:r w:rsidR="00582D26" w:rsidRPr="003324FC">
        <w:rPr>
          <w:rFonts w:asciiTheme="minorHAnsi" w:hAnsiTheme="minorHAnsi"/>
          <w:i/>
        </w:rPr>
        <w:t>See, e.g.</w:t>
      </w:r>
      <w:r w:rsidR="00582D26" w:rsidRPr="003324FC">
        <w:rPr>
          <w:rFonts w:asciiTheme="minorHAnsi" w:hAnsiTheme="minorHAnsi"/>
        </w:rPr>
        <w:t>,</w:t>
      </w:r>
      <w:r w:rsidR="00582D26" w:rsidRPr="003324FC">
        <w:rPr>
          <w:rFonts w:asciiTheme="minorHAnsi" w:hAnsiTheme="minorHAnsi"/>
          <w:i/>
        </w:rPr>
        <w:t xml:space="preserve"> </w:t>
      </w:r>
      <w:r w:rsidR="00582D26" w:rsidRPr="003324FC">
        <w:rPr>
          <w:rFonts w:asciiTheme="minorHAnsi" w:hAnsiTheme="minorHAnsi"/>
        </w:rPr>
        <w:t xml:space="preserve">Bank of England-Prudential Regulation Authority, Credit Unions Sourcebook (CREDS) § 5.2 (“Components of capital”), </w:t>
      </w:r>
      <w:r w:rsidR="00582D26" w:rsidRPr="003324FC">
        <w:rPr>
          <w:rFonts w:asciiTheme="minorHAnsi" w:hAnsiTheme="minorHAnsi"/>
          <w:i/>
        </w:rPr>
        <w:t>available at</w:t>
      </w:r>
      <w:r w:rsidR="00582D26" w:rsidRPr="003324FC">
        <w:rPr>
          <w:rFonts w:asciiTheme="minorHAnsi" w:hAnsiTheme="minorHAnsi"/>
        </w:rPr>
        <w:t xml:space="preserve"> </w:t>
      </w:r>
      <w:hyperlink r:id="rId5" w:history="1">
        <w:r w:rsidR="00582D26" w:rsidRPr="003324FC">
          <w:rPr>
            <w:rStyle w:val="Hyperlink"/>
            <w:rFonts w:asciiTheme="minorHAnsi" w:hAnsiTheme="minorHAnsi"/>
          </w:rPr>
          <w:t>http://fshandbook.info/FS/html/handbook/CREDS/5/2</w:t>
        </w:r>
      </w:hyperlink>
      <w:r w:rsidR="00582D26" w:rsidRPr="003324FC">
        <w:rPr>
          <w:rFonts w:asciiTheme="minorHAnsi" w:hAnsiTheme="minorHAnsi"/>
        </w:rPr>
        <w:t>.</w:t>
      </w:r>
      <w:proofErr w:type="gramEnd"/>
      <w:r w:rsidR="00582D26" w:rsidRPr="003324FC">
        <w:rPr>
          <w:rFonts w:asciiTheme="minorHAnsi" w:hAnsiTheme="minorHAnsi"/>
        </w:rPr>
        <w:t xml:space="preserve"> </w:t>
      </w:r>
    </w:p>
  </w:footnote>
  <w:footnote w:id="6">
    <w:p w:rsidR="006B0474" w:rsidRPr="00B8281E" w:rsidRDefault="006B0474" w:rsidP="006B0474">
      <w:pPr>
        <w:pStyle w:val="FootnoteText"/>
        <w:rPr>
          <w:rFonts w:asciiTheme="minorHAnsi" w:hAnsiTheme="minorHAnsi"/>
          <w:lang w:val="en-US"/>
        </w:rPr>
      </w:pPr>
      <w:r w:rsidRPr="00B8281E">
        <w:rPr>
          <w:rStyle w:val="FootnoteReference"/>
          <w:rFonts w:asciiTheme="minorHAnsi" w:hAnsiTheme="minorHAnsi"/>
        </w:rPr>
        <w:footnoteRef/>
      </w:r>
      <w:r w:rsidRPr="00B8281E">
        <w:rPr>
          <w:rFonts w:asciiTheme="minorHAnsi" w:hAnsiTheme="minorHAnsi"/>
        </w:rPr>
        <w:t xml:space="preserve"> </w:t>
      </w:r>
      <w:proofErr w:type="gramStart"/>
      <w:r w:rsidRPr="00B8281E">
        <w:rPr>
          <w:rFonts w:asciiTheme="minorHAnsi" w:hAnsiTheme="minorHAnsi"/>
          <w:i/>
          <w:lang w:val="en-US"/>
        </w:rPr>
        <w:t>See, e.g.</w:t>
      </w:r>
      <w:r w:rsidRPr="00B8281E">
        <w:rPr>
          <w:rFonts w:asciiTheme="minorHAnsi" w:hAnsiTheme="minorHAnsi"/>
          <w:lang w:val="en-US"/>
        </w:rPr>
        <w:t xml:space="preserve">, HM Treasury, </w:t>
      </w:r>
      <w:r w:rsidRPr="00B8281E">
        <w:rPr>
          <w:rFonts w:asciiTheme="minorHAnsi" w:hAnsiTheme="minorHAnsi"/>
          <w:i/>
          <w:lang w:val="en-US"/>
        </w:rPr>
        <w:t>The Legislative Reform (Industrial and Provident Societies and Credit Unions) Order 2011</w:t>
      </w:r>
      <w:r w:rsidRPr="00B8281E">
        <w:rPr>
          <w:rFonts w:asciiTheme="minorHAnsi" w:hAnsiTheme="minorHAnsi"/>
          <w:lang w:val="en-US"/>
        </w:rPr>
        <w:t>§ 12 (“Common bonds”)</w:t>
      </w:r>
      <w:r w:rsidRPr="00B8281E">
        <w:rPr>
          <w:rFonts w:asciiTheme="minorHAnsi" w:hAnsiTheme="minorHAnsi"/>
          <w:i/>
          <w:lang w:val="en-US"/>
        </w:rPr>
        <w:t>, available at</w:t>
      </w:r>
      <w:r w:rsidRPr="00B8281E">
        <w:rPr>
          <w:rFonts w:asciiTheme="minorHAnsi" w:hAnsiTheme="minorHAnsi"/>
          <w:lang w:val="en-US"/>
        </w:rPr>
        <w:t xml:space="preserve"> </w:t>
      </w:r>
      <w:hyperlink r:id="rId6" w:history="1">
        <w:r w:rsidRPr="00B8281E">
          <w:rPr>
            <w:rStyle w:val="Hyperlink"/>
            <w:rFonts w:asciiTheme="minorHAnsi" w:hAnsiTheme="minorHAnsi"/>
            <w:lang w:val="en-US"/>
          </w:rPr>
          <w:t>http://www.legislation.gov.uk/uksi/2011/2687/made</w:t>
        </w:r>
      </w:hyperlink>
      <w:r w:rsidRPr="00B8281E">
        <w:rPr>
          <w:rFonts w:asciiTheme="minorHAnsi" w:hAnsiTheme="minorHAnsi"/>
          <w:lang w:val="en-US"/>
        </w:rPr>
        <w:t>.</w:t>
      </w:r>
      <w:proofErr w:type="gramEnd"/>
      <w:r w:rsidRPr="00B8281E">
        <w:rPr>
          <w:rFonts w:asciiTheme="minorHAnsi" w:hAnsiTheme="minorHAnsi"/>
          <w:lang w:val="en-US"/>
        </w:rPr>
        <w:t xml:space="preserve"> </w:t>
      </w:r>
    </w:p>
  </w:footnote>
  <w:footnote w:id="7">
    <w:p w:rsidR="00582D26" w:rsidRPr="00A37BD5" w:rsidRDefault="00582D26" w:rsidP="00A37BD5">
      <w:pPr>
        <w:pStyle w:val="FootnoteText"/>
      </w:pPr>
      <w:r w:rsidRPr="003324FC">
        <w:rPr>
          <w:rStyle w:val="FootnoteReference"/>
          <w:rFonts w:asciiTheme="minorHAnsi" w:hAnsiTheme="minorHAnsi"/>
        </w:rPr>
        <w:footnoteRef/>
      </w:r>
      <w:r w:rsidRPr="003324FC">
        <w:rPr>
          <w:rFonts w:asciiTheme="minorHAnsi" w:hAnsiTheme="minorHAnsi"/>
        </w:rPr>
        <w:t xml:space="preserve"> </w:t>
      </w:r>
      <w:r w:rsidRPr="003324FC">
        <w:rPr>
          <w:rFonts w:asciiTheme="minorHAnsi" w:hAnsiTheme="minorHAnsi"/>
          <w:i/>
          <w:lang w:val="en-US"/>
        </w:rPr>
        <w:t>See id.</w:t>
      </w:r>
      <w:r w:rsidRPr="003324FC">
        <w:rPr>
          <w:rFonts w:asciiTheme="minorHAnsi" w:hAnsiTheme="minorHAnsi"/>
          <w:lang w:val="en-US"/>
        </w:rPr>
        <w:t xml:space="preserve"> </w:t>
      </w:r>
      <w:r w:rsidR="00A37BD5" w:rsidRPr="003324FC">
        <w:rPr>
          <w:rFonts w:asciiTheme="minorHAnsi" w:hAnsiTheme="minorHAnsi"/>
          <w:lang w:val="en-US"/>
        </w:rPr>
        <w:t xml:space="preserve">(“The following are included in the meaning of 'capital' for the purposes of this chapter: </w:t>
      </w:r>
      <w:r w:rsidR="00A37BD5" w:rsidRPr="003324FC">
        <w:rPr>
          <w:rFonts w:asciiTheme="minorHAnsi" w:hAnsiTheme="minorHAnsi"/>
        </w:rPr>
        <w:t xml:space="preserve">(a) </w:t>
      </w:r>
      <w:r w:rsidR="00A37BD5" w:rsidRPr="003324FC">
        <w:rPr>
          <w:rStyle w:val="subparatext"/>
          <w:rFonts w:asciiTheme="minorHAnsi" w:hAnsiTheme="minorHAnsi"/>
        </w:rPr>
        <w:t>audited reserves; (b)  interim net profits; (c)  deferred shares; (d)  subordinated debt meeting the requirements set out at (4); (e)  initial capital; and</w:t>
      </w:r>
      <w:r w:rsidR="00F938A8">
        <w:rPr>
          <w:rStyle w:val="subparatext"/>
          <w:rFonts w:asciiTheme="minorHAnsi" w:hAnsiTheme="minorHAnsi"/>
        </w:rPr>
        <w:t xml:space="preserve"> </w:t>
      </w:r>
      <w:r w:rsidR="00A37BD5" w:rsidRPr="003324FC">
        <w:rPr>
          <w:rStyle w:val="subparatext"/>
          <w:rFonts w:asciiTheme="minorHAnsi" w:hAnsiTheme="minorHAnsi"/>
        </w:rPr>
        <w:t>(f)  revaluation reserves, arising from the differences between book values and the current market values of property fixed assets . .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87" w:rsidRDefault="00DA6887">
    <w:pPr>
      <w:pStyle w:val="Header"/>
    </w:pPr>
    <w:r>
      <w:rPr>
        <w:noProof/>
        <w:lang w:val="en-US" w:eastAsia="en-US"/>
      </w:rPr>
      <w:drawing>
        <wp:inline distT="0" distB="0" distL="0" distR="0" wp14:anchorId="4AC699D8" wp14:editId="4008DC98">
          <wp:extent cx="800100" cy="676275"/>
          <wp:effectExtent l="19050" t="0" r="0" b="0"/>
          <wp:docPr id="1" name="Picture 1" descr="EuroNetworkLogo_2nd page head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tworkLogo_2nd page header_RGB"/>
                  <pic:cNvPicPr>
                    <a:picLocks noChangeAspect="1" noChangeArrowheads="1"/>
                  </pic:cNvPicPr>
                </pic:nvPicPr>
                <pic:blipFill>
                  <a:blip r:embed="rId1"/>
                  <a:srcRect/>
                  <a:stretch>
                    <a:fillRect/>
                  </a:stretch>
                </pic:blipFill>
                <pic:spPr bwMode="auto">
                  <a:xfrm>
                    <a:off x="0" y="0"/>
                    <a:ext cx="800100" cy="676275"/>
                  </a:xfrm>
                  <a:prstGeom prst="rect">
                    <a:avLst/>
                  </a:prstGeom>
                  <a:noFill/>
                  <a:ln w="9525">
                    <a:noFill/>
                    <a:miter lim="800000"/>
                    <a:headEnd/>
                    <a:tailEnd/>
                  </a:ln>
                </pic:spPr>
              </pic:pic>
            </a:graphicData>
          </a:graphic>
        </wp:inline>
      </w:drawing>
    </w:r>
  </w:p>
  <w:p w:rsidR="00DA6887" w:rsidRDefault="00DA6887">
    <w:pPr>
      <w:pStyle w:val="Header"/>
    </w:pPr>
  </w:p>
  <w:p w:rsidR="00DA6887" w:rsidRDefault="00DA6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87" w:rsidRDefault="00DA6887">
    <w:pPr>
      <w:pStyle w:val="Header"/>
    </w:pPr>
    <w:r>
      <w:rPr>
        <w:noProof/>
        <w:lang w:val="en-US" w:eastAsia="en-US"/>
      </w:rPr>
      <w:drawing>
        <wp:inline distT="0" distB="0" distL="0" distR="0" wp14:anchorId="2F0386FD" wp14:editId="355E7499">
          <wp:extent cx="6638925" cy="685800"/>
          <wp:effectExtent l="19050" t="0" r="9525" b="0"/>
          <wp:docPr id="2" name="Picture 2" descr="EuroNetworkLogo_Header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NetworkLogo_Header2_RGB"/>
                  <pic:cNvPicPr>
                    <a:picLocks noChangeAspect="1" noChangeArrowheads="1"/>
                  </pic:cNvPicPr>
                </pic:nvPicPr>
                <pic:blipFill>
                  <a:blip r:embed="rId1"/>
                  <a:srcRect/>
                  <a:stretch>
                    <a:fillRect/>
                  </a:stretch>
                </pic:blipFill>
                <pic:spPr bwMode="auto">
                  <a:xfrm>
                    <a:off x="0" y="0"/>
                    <a:ext cx="6638925"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C6A"/>
    <w:multiLevelType w:val="hybridMultilevel"/>
    <w:tmpl w:val="CBA63D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0B6DBF"/>
    <w:multiLevelType w:val="hybridMultilevel"/>
    <w:tmpl w:val="4CDE6BD8"/>
    <w:lvl w:ilvl="0" w:tplc="04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605CC"/>
    <w:multiLevelType w:val="multilevel"/>
    <w:tmpl w:val="00F647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8F97ABD"/>
    <w:multiLevelType w:val="hybridMultilevel"/>
    <w:tmpl w:val="E960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663EE6"/>
    <w:multiLevelType w:val="hybridMultilevel"/>
    <w:tmpl w:val="7D407F2E"/>
    <w:lvl w:ilvl="0" w:tplc="04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557364"/>
    <w:multiLevelType w:val="hybridMultilevel"/>
    <w:tmpl w:val="1F64B4EA"/>
    <w:lvl w:ilvl="0" w:tplc="D548C4B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1432B4"/>
    <w:multiLevelType w:val="hybridMultilevel"/>
    <w:tmpl w:val="D9841D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6A7B0F"/>
    <w:multiLevelType w:val="hybridMultilevel"/>
    <w:tmpl w:val="D4D4482E"/>
    <w:lvl w:ilvl="0" w:tplc="CD0AA27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CD066C"/>
    <w:multiLevelType w:val="hybridMultilevel"/>
    <w:tmpl w:val="2FAA0A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EF392E"/>
    <w:multiLevelType w:val="hybridMultilevel"/>
    <w:tmpl w:val="008E8F82"/>
    <w:lvl w:ilvl="0" w:tplc="568C9DB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A1BAB"/>
    <w:multiLevelType w:val="hybridMultilevel"/>
    <w:tmpl w:val="0F42DE4A"/>
    <w:lvl w:ilvl="0" w:tplc="FE50D514">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E9E4C39"/>
    <w:multiLevelType w:val="hybridMultilevel"/>
    <w:tmpl w:val="D7F0BF60"/>
    <w:lvl w:ilvl="0" w:tplc="C2DC2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424232"/>
    <w:multiLevelType w:val="hybridMultilevel"/>
    <w:tmpl w:val="85962DFE"/>
    <w:lvl w:ilvl="0" w:tplc="AB8EDFA4">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5AA27AD"/>
    <w:multiLevelType w:val="hybridMultilevel"/>
    <w:tmpl w:val="FDD6C03A"/>
    <w:lvl w:ilvl="0" w:tplc="B25872CA">
      <w:start w:val="1"/>
      <w:numFmt w:val="bullet"/>
      <w:lvlText w:val=""/>
      <w:lvlJc w:val="left"/>
      <w:pPr>
        <w:tabs>
          <w:tab w:val="num" w:pos="720"/>
        </w:tabs>
        <w:ind w:left="720" w:hanging="360"/>
      </w:pPr>
      <w:rPr>
        <w:rFonts w:ascii="Wingdings" w:hAnsi="Wingdings" w:hint="default"/>
        <w:sz w:val="22"/>
      </w:rPr>
    </w:lvl>
    <w:lvl w:ilvl="1" w:tplc="0809000F">
      <w:start w:val="2"/>
      <w:numFmt w:val="decimal"/>
      <w:lvlText w:val="%2."/>
      <w:lvlJc w:val="left"/>
      <w:pPr>
        <w:tabs>
          <w:tab w:val="num" w:pos="1440"/>
        </w:tabs>
        <w:ind w:left="1440" w:hanging="360"/>
      </w:pPr>
      <w:rPr>
        <w:rFont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9743CB"/>
    <w:multiLevelType w:val="hybridMultilevel"/>
    <w:tmpl w:val="1794D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E841B8"/>
    <w:multiLevelType w:val="multilevel"/>
    <w:tmpl w:val="C4C4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175E7C"/>
    <w:multiLevelType w:val="hybridMultilevel"/>
    <w:tmpl w:val="7C3A2DFA"/>
    <w:lvl w:ilvl="0" w:tplc="7768583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777EFA"/>
    <w:multiLevelType w:val="hybridMultilevel"/>
    <w:tmpl w:val="26D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5103D"/>
    <w:multiLevelType w:val="hybridMultilevel"/>
    <w:tmpl w:val="6DF4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9C5D12"/>
    <w:multiLevelType w:val="hybridMultilevel"/>
    <w:tmpl w:val="5CE8B144"/>
    <w:lvl w:ilvl="0" w:tplc="ACD4CE70">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365068B8"/>
    <w:multiLevelType w:val="hybridMultilevel"/>
    <w:tmpl w:val="7728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3123B5"/>
    <w:multiLevelType w:val="hybridMultilevel"/>
    <w:tmpl w:val="00F647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2AF069C"/>
    <w:multiLevelType w:val="hybridMultilevel"/>
    <w:tmpl w:val="24983CF8"/>
    <w:lvl w:ilvl="0" w:tplc="DDB8856A">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75143BB"/>
    <w:multiLevelType w:val="multilevel"/>
    <w:tmpl w:val="40CE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CC1B0E"/>
    <w:multiLevelType w:val="hybridMultilevel"/>
    <w:tmpl w:val="459A9FAE"/>
    <w:lvl w:ilvl="0" w:tplc="53B0099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6D67F3"/>
    <w:multiLevelType w:val="hybridMultilevel"/>
    <w:tmpl w:val="B7C82D22"/>
    <w:lvl w:ilvl="0" w:tplc="9A7AA9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7E5D7B"/>
    <w:multiLevelType w:val="hybridMultilevel"/>
    <w:tmpl w:val="00FAE6BC"/>
    <w:lvl w:ilvl="0" w:tplc="C2DC2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514EAE"/>
    <w:multiLevelType w:val="hybridMultilevel"/>
    <w:tmpl w:val="9D86CC66"/>
    <w:lvl w:ilvl="0" w:tplc="7668FEB8">
      <w:start w:val="35"/>
      <w:numFmt w:val="bullet"/>
      <w:lvlText w:val="-"/>
      <w:lvlJc w:val="left"/>
      <w:pPr>
        <w:ind w:left="360" w:hanging="36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4E5B4779"/>
    <w:multiLevelType w:val="hybridMultilevel"/>
    <w:tmpl w:val="5582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263D98"/>
    <w:multiLevelType w:val="hybridMultilevel"/>
    <w:tmpl w:val="75FA831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52955C90"/>
    <w:multiLevelType w:val="hybridMultilevel"/>
    <w:tmpl w:val="D79AE350"/>
    <w:lvl w:ilvl="0" w:tplc="DDB885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3F51F1"/>
    <w:multiLevelType w:val="hybridMultilevel"/>
    <w:tmpl w:val="B386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70622B"/>
    <w:multiLevelType w:val="hybridMultilevel"/>
    <w:tmpl w:val="9A7E41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58002E97"/>
    <w:multiLevelType w:val="multilevel"/>
    <w:tmpl w:val="3FE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8C50E2"/>
    <w:multiLevelType w:val="hybridMultilevel"/>
    <w:tmpl w:val="0C9C3BC8"/>
    <w:lvl w:ilvl="0" w:tplc="1B2CAD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F82DF0"/>
    <w:multiLevelType w:val="hybridMultilevel"/>
    <w:tmpl w:val="3672FA8C"/>
    <w:lvl w:ilvl="0" w:tplc="6A4A2F9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493FEE"/>
    <w:multiLevelType w:val="hybridMultilevel"/>
    <w:tmpl w:val="3DAA064E"/>
    <w:lvl w:ilvl="0" w:tplc="B25872CA">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FD1124"/>
    <w:multiLevelType w:val="hybridMultilevel"/>
    <w:tmpl w:val="861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BF565CE"/>
    <w:multiLevelType w:val="hybridMultilevel"/>
    <w:tmpl w:val="11FE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1F5BCD"/>
    <w:multiLevelType w:val="hybridMultilevel"/>
    <w:tmpl w:val="18ACFFC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40">
    <w:nsid w:val="6E5920A3"/>
    <w:multiLevelType w:val="hybridMultilevel"/>
    <w:tmpl w:val="9272BE98"/>
    <w:lvl w:ilvl="0" w:tplc="289A1C0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FC70532"/>
    <w:multiLevelType w:val="hybridMultilevel"/>
    <w:tmpl w:val="019E7410"/>
    <w:lvl w:ilvl="0" w:tplc="28F00AA6">
      <w:start w:val="3"/>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07B5D0A"/>
    <w:multiLevelType w:val="hybridMultilevel"/>
    <w:tmpl w:val="98242524"/>
    <w:lvl w:ilvl="0" w:tplc="70969E8A">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170196D"/>
    <w:multiLevelType w:val="multilevel"/>
    <w:tmpl w:val="3FE24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40F425C"/>
    <w:multiLevelType w:val="hybridMultilevel"/>
    <w:tmpl w:val="D0E0A37A"/>
    <w:lvl w:ilvl="0" w:tplc="040C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1B5E1D"/>
    <w:multiLevelType w:val="multilevel"/>
    <w:tmpl w:val="9A7E41C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nsid w:val="79603BD1"/>
    <w:multiLevelType w:val="hybridMultilevel"/>
    <w:tmpl w:val="8CB0C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3"/>
  </w:num>
  <w:num w:numId="2">
    <w:abstractNumId w:val="23"/>
  </w:num>
  <w:num w:numId="3">
    <w:abstractNumId w:val="29"/>
  </w:num>
  <w:num w:numId="4">
    <w:abstractNumId w:val="32"/>
  </w:num>
  <w:num w:numId="5">
    <w:abstractNumId w:val="45"/>
  </w:num>
  <w:num w:numId="6">
    <w:abstractNumId w:val="21"/>
  </w:num>
  <w:num w:numId="7">
    <w:abstractNumId w:val="2"/>
  </w:num>
  <w:num w:numId="8">
    <w:abstractNumId w:val="6"/>
  </w:num>
  <w:num w:numId="9">
    <w:abstractNumId w:val="43"/>
  </w:num>
  <w:num w:numId="10">
    <w:abstractNumId w:val="15"/>
  </w:num>
  <w:num w:numId="11">
    <w:abstractNumId w:val="13"/>
  </w:num>
  <w:num w:numId="12">
    <w:abstractNumId w:val="36"/>
  </w:num>
  <w:num w:numId="13">
    <w:abstractNumId w:val="44"/>
  </w:num>
  <w:num w:numId="14">
    <w:abstractNumId w:val="1"/>
  </w:num>
  <w:num w:numId="15">
    <w:abstractNumId w:val="4"/>
  </w:num>
  <w:num w:numId="16">
    <w:abstractNumId w:val="40"/>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1"/>
  </w:num>
  <w:num w:numId="24">
    <w:abstractNumId w:val="38"/>
  </w:num>
  <w:num w:numId="25">
    <w:abstractNumId w:val="3"/>
  </w:num>
  <w:num w:numId="26">
    <w:abstractNumId w:val="37"/>
  </w:num>
  <w:num w:numId="27">
    <w:abstractNumId w:val="28"/>
  </w:num>
  <w:num w:numId="28">
    <w:abstractNumId w:val="25"/>
  </w:num>
  <w:num w:numId="29">
    <w:abstractNumId w:val="20"/>
  </w:num>
  <w:num w:numId="30">
    <w:abstractNumId w:val="16"/>
  </w:num>
  <w:num w:numId="31">
    <w:abstractNumId w:val="5"/>
  </w:num>
  <w:num w:numId="32">
    <w:abstractNumId w:val="22"/>
  </w:num>
  <w:num w:numId="33">
    <w:abstractNumId w:val="30"/>
  </w:num>
  <w:num w:numId="34">
    <w:abstractNumId w:val="10"/>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46"/>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6"/>
  </w:num>
  <w:num w:numId="42">
    <w:abstractNumId w:val="7"/>
  </w:num>
  <w:num w:numId="43">
    <w:abstractNumId w:val="24"/>
  </w:num>
  <w:num w:numId="44">
    <w:abstractNumId w:val="42"/>
  </w:num>
  <w:num w:numId="45">
    <w:abstractNumId w:val="35"/>
  </w:num>
  <w:num w:numId="46">
    <w:abstractNumId w:val="1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9C"/>
    <w:rsid w:val="00000BBE"/>
    <w:rsid w:val="00001535"/>
    <w:rsid w:val="00001A1C"/>
    <w:rsid w:val="00001D60"/>
    <w:rsid w:val="00001F75"/>
    <w:rsid w:val="00002FB9"/>
    <w:rsid w:val="00003E41"/>
    <w:rsid w:val="00005E98"/>
    <w:rsid w:val="000065A4"/>
    <w:rsid w:val="0001101B"/>
    <w:rsid w:val="000130D3"/>
    <w:rsid w:val="0001384F"/>
    <w:rsid w:val="00014A96"/>
    <w:rsid w:val="0001625E"/>
    <w:rsid w:val="000179E0"/>
    <w:rsid w:val="0002141A"/>
    <w:rsid w:val="000215F4"/>
    <w:rsid w:val="00021896"/>
    <w:rsid w:val="00021A63"/>
    <w:rsid w:val="00022173"/>
    <w:rsid w:val="000235E9"/>
    <w:rsid w:val="000250AF"/>
    <w:rsid w:val="00025EF0"/>
    <w:rsid w:val="00027B7F"/>
    <w:rsid w:val="00027D9B"/>
    <w:rsid w:val="00030A7F"/>
    <w:rsid w:val="00031F2D"/>
    <w:rsid w:val="000337D6"/>
    <w:rsid w:val="00033A37"/>
    <w:rsid w:val="00033F57"/>
    <w:rsid w:val="00034198"/>
    <w:rsid w:val="00034D6C"/>
    <w:rsid w:val="00034DE8"/>
    <w:rsid w:val="00035C7E"/>
    <w:rsid w:val="00037988"/>
    <w:rsid w:val="0004103E"/>
    <w:rsid w:val="00042CB0"/>
    <w:rsid w:val="000441A4"/>
    <w:rsid w:val="00044CC4"/>
    <w:rsid w:val="0004644D"/>
    <w:rsid w:val="00050796"/>
    <w:rsid w:val="00050E14"/>
    <w:rsid w:val="00051349"/>
    <w:rsid w:val="00051673"/>
    <w:rsid w:val="00052BA7"/>
    <w:rsid w:val="00053B4B"/>
    <w:rsid w:val="00054725"/>
    <w:rsid w:val="00054CE5"/>
    <w:rsid w:val="00057505"/>
    <w:rsid w:val="00057C30"/>
    <w:rsid w:val="000604BE"/>
    <w:rsid w:val="000607CF"/>
    <w:rsid w:val="00067044"/>
    <w:rsid w:val="0007090D"/>
    <w:rsid w:val="000720E3"/>
    <w:rsid w:val="00074C11"/>
    <w:rsid w:val="00074CE7"/>
    <w:rsid w:val="00076385"/>
    <w:rsid w:val="00077B6D"/>
    <w:rsid w:val="00077B78"/>
    <w:rsid w:val="00077D3C"/>
    <w:rsid w:val="00082D65"/>
    <w:rsid w:val="00087095"/>
    <w:rsid w:val="0008748A"/>
    <w:rsid w:val="00090D85"/>
    <w:rsid w:val="000914F0"/>
    <w:rsid w:val="000927C0"/>
    <w:rsid w:val="00095246"/>
    <w:rsid w:val="000961DC"/>
    <w:rsid w:val="00096711"/>
    <w:rsid w:val="000967C7"/>
    <w:rsid w:val="00096DA3"/>
    <w:rsid w:val="00096DE1"/>
    <w:rsid w:val="00097448"/>
    <w:rsid w:val="00097EC6"/>
    <w:rsid w:val="000A0A50"/>
    <w:rsid w:val="000A138B"/>
    <w:rsid w:val="000A1438"/>
    <w:rsid w:val="000A2BDE"/>
    <w:rsid w:val="000A2C24"/>
    <w:rsid w:val="000A51B1"/>
    <w:rsid w:val="000A6A14"/>
    <w:rsid w:val="000A6A67"/>
    <w:rsid w:val="000A7C76"/>
    <w:rsid w:val="000B0414"/>
    <w:rsid w:val="000B067F"/>
    <w:rsid w:val="000B1DA9"/>
    <w:rsid w:val="000B2084"/>
    <w:rsid w:val="000B2943"/>
    <w:rsid w:val="000B46D6"/>
    <w:rsid w:val="000B4784"/>
    <w:rsid w:val="000B4B15"/>
    <w:rsid w:val="000B6A26"/>
    <w:rsid w:val="000B6D63"/>
    <w:rsid w:val="000B719F"/>
    <w:rsid w:val="000B7AC8"/>
    <w:rsid w:val="000C0ADA"/>
    <w:rsid w:val="000C1F61"/>
    <w:rsid w:val="000C2168"/>
    <w:rsid w:val="000C379C"/>
    <w:rsid w:val="000C4E33"/>
    <w:rsid w:val="000C55CA"/>
    <w:rsid w:val="000C59BC"/>
    <w:rsid w:val="000C7C92"/>
    <w:rsid w:val="000D0D53"/>
    <w:rsid w:val="000D10F0"/>
    <w:rsid w:val="000D13C8"/>
    <w:rsid w:val="000D216D"/>
    <w:rsid w:val="000D30A5"/>
    <w:rsid w:val="000D495A"/>
    <w:rsid w:val="000D4BAC"/>
    <w:rsid w:val="000D4C8E"/>
    <w:rsid w:val="000D5381"/>
    <w:rsid w:val="000D5409"/>
    <w:rsid w:val="000D5909"/>
    <w:rsid w:val="000D5DA2"/>
    <w:rsid w:val="000D7EB1"/>
    <w:rsid w:val="000E11EC"/>
    <w:rsid w:val="000E1364"/>
    <w:rsid w:val="000E298C"/>
    <w:rsid w:val="000E3E74"/>
    <w:rsid w:val="000E51B8"/>
    <w:rsid w:val="000E5F94"/>
    <w:rsid w:val="000E6FB0"/>
    <w:rsid w:val="000E7948"/>
    <w:rsid w:val="000E795C"/>
    <w:rsid w:val="000F0F7B"/>
    <w:rsid w:val="000F1F67"/>
    <w:rsid w:val="000F393A"/>
    <w:rsid w:val="000F39F7"/>
    <w:rsid w:val="000F77C2"/>
    <w:rsid w:val="0010164B"/>
    <w:rsid w:val="00101977"/>
    <w:rsid w:val="00103686"/>
    <w:rsid w:val="001052F3"/>
    <w:rsid w:val="00105FB0"/>
    <w:rsid w:val="001115C6"/>
    <w:rsid w:val="0011193B"/>
    <w:rsid w:val="00112E57"/>
    <w:rsid w:val="001135B3"/>
    <w:rsid w:val="00114B1B"/>
    <w:rsid w:val="00122542"/>
    <w:rsid w:val="00123169"/>
    <w:rsid w:val="001239A7"/>
    <w:rsid w:val="00124424"/>
    <w:rsid w:val="00127027"/>
    <w:rsid w:val="00132C7E"/>
    <w:rsid w:val="00133D59"/>
    <w:rsid w:val="00133D5B"/>
    <w:rsid w:val="00134602"/>
    <w:rsid w:val="0013478A"/>
    <w:rsid w:val="00136AA3"/>
    <w:rsid w:val="00136B76"/>
    <w:rsid w:val="001415F0"/>
    <w:rsid w:val="00144343"/>
    <w:rsid w:val="00144CDE"/>
    <w:rsid w:val="001458E7"/>
    <w:rsid w:val="001474B7"/>
    <w:rsid w:val="001517AA"/>
    <w:rsid w:val="00152DAE"/>
    <w:rsid w:val="001568DA"/>
    <w:rsid w:val="00157426"/>
    <w:rsid w:val="001602CA"/>
    <w:rsid w:val="001603C2"/>
    <w:rsid w:val="00160E18"/>
    <w:rsid w:val="001610FC"/>
    <w:rsid w:val="0016124A"/>
    <w:rsid w:val="001612FB"/>
    <w:rsid w:val="001617A8"/>
    <w:rsid w:val="00161B16"/>
    <w:rsid w:val="00162D54"/>
    <w:rsid w:val="00164A8F"/>
    <w:rsid w:val="0016573C"/>
    <w:rsid w:val="00165C06"/>
    <w:rsid w:val="00170057"/>
    <w:rsid w:val="00170CB8"/>
    <w:rsid w:val="00174734"/>
    <w:rsid w:val="00174C7B"/>
    <w:rsid w:val="001756AE"/>
    <w:rsid w:val="001756AF"/>
    <w:rsid w:val="001777F5"/>
    <w:rsid w:val="00180351"/>
    <w:rsid w:val="00180B63"/>
    <w:rsid w:val="00180C80"/>
    <w:rsid w:val="0018193E"/>
    <w:rsid w:val="00182C4F"/>
    <w:rsid w:val="00182C9A"/>
    <w:rsid w:val="001836B2"/>
    <w:rsid w:val="001851BE"/>
    <w:rsid w:val="001853C4"/>
    <w:rsid w:val="00185B7F"/>
    <w:rsid w:val="00185D3E"/>
    <w:rsid w:val="00190A4B"/>
    <w:rsid w:val="00192825"/>
    <w:rsid w:val="00195211"/>
    <w:rsid w:val="0019553C"/>
    <w:rsid w:val="00195C6F"/>
    <w:rsid w:val="001961E8"/>
    <w:rsid w:val="0019786F"/>
    <w:rsid w:val="001A17B3"/>
    <w:rsid w:val="001A1FDD"/>
    <w:rsid w:val="001A38D4"/>
    <w:rsid w:val="001A435A"/>
    <w:rsid w:val="001A489B"/>
    <w:rsid w:val="001A48DB"/>
    <w:rsid w:val="001A4DE5"/>
    <w:rsid w:val="001A5B9A"/>
    <w:rsid w:val="001A690C"/>
    <w:rsid w:val="001A70B3"/>
    <w:rsid w:val="001B5A7C"/>
    <w:rsid w:val="001B604C"/>
    <w:rsid w:val="001B68CD"/>
    <w:rsid w:val="001B7A4E"/>
    <w:rsid w:val="001C066C"/>
    <w:rsid w:val="001C2B32"/>
    <w:rsid w:val="001C2EAE"/>
    <w:rsid w:val="001C3C5A"/>
    <w:rsid w:val="001C4F83"/>
    <w:rsid w:val="001C5796"/>
    <w:rsid w:val="001C7CC2"/>
    <w:rsid w:val="001D3EB0"/>
    <w:rsid w:val="001D475F"/>
    <w:rsid w:val="001D5E10"/>
    <w:rsid w:val="001D7253"/>
    <w:rsid w:val="001D72F6"/>
    <w:rsid w:val="001E01DE"/>
    <w:rsid w:val="001E374E"/>
    <w:rsid w:val="001E3A38"/>
    <w:rsid w:val="001E41D9"/>
    <w:rsid w:val="001E4630"/>
    <w:rsid w:val="001E7FB5"/>
    <w:rsid w:val="001F00AE"/>
    <w:rsid w:val="001F218E"/>
    <w:rsid w:val="001F2258"/>
    <w:rsid w:val="001F329A"/>
    <w:rsid w:val="001F38C1"/>
    <w:rsid w:val="001F55D8"/>
    <w:rsid w:val="001F7AB2"/>
    <w:rsid w:val="001F7EE8"/>
    <w:rsid w:val="002001A9"/>
    <w:rsid w:val="002008E9"/>
    <w:rsid w:val="00200E9D"/>
    <w:rsid w:val="002012AC"/>
    <w:rsid w:val="00201610"/>
    <w:rsid w:val="002022D0"/>
    <w:rsid w:val="00204A66"/>
    <w:rsid w:val="00204F8D"/>
    <w:rsid w:val="0021032E"/>
    <w:rsid w:val="0021209F"/>
    <w:rsid w:val="00212390"/>
    <w:rsid w:val="00213302"/>
    <w:rsid w:val="00213A99"/>
    <w:rsid w:val="0021476C"/>
    <w:rsid w:val="0022105F"/>
    <w:rsid w:val="002210BE"/>
    <w:rsid w:val="0022212D"/>
    <w:rsid w:val="002221B4"/>
    <w:rsid w:val="00222CC8"/>
    <w:rsid w:val="00223B8C"/>
    <w:rsid w:val="00224FA9"/>
    <w:rsid w:val="00226BB9"/>
    <w:rsid w:val="002306B8"/>
    <w:rsid w:val="00230EDB"/>
    <w:rsid w:val="00230FC4"/>
    <w:rsid w:val="00233BB6"/>
    <w:rsid w:val="00237B50"/>
    <w:rsid w:val="00240096"/>
    <w:rsid w:val="00240495"/>
    <w:rsid w:val="0024167E"/>
    <w:rsid w:val="00242214"/>
    <w:rsid w:val="00242E08"/>
    <w:rsid w:val="00242F90"/>
    <w:rsid w:val="00243B1A"/>
    <w:rsid w:val="00243D32"/>
    <w:rsid w:val="00244E8E"/>
    <w:rsid w:val="00245BF2"/>
    <w:rsid w:val="00245CB6"/>
    <w:rsid w:val="00246D1E"/>
    <w:rsid w:val="002473A0"/>
    <w:rsid w:val="00247BB8"/>
    <w:rsid w:val="00250DD1"/>
    <w:rsid w:val="0025334D"/>
    <w:rsid w:val="002540C7"/>
    <w:rsid w:val="00254433"/>
    <w:rsid w:val="00254B1B"/>
    <w:rsid w:val="00254BAF"/>
    <w:rsid w:val="002554C1"/>
    <w:rsid w:val="00256131"/>
    <w:rsid w:val="00256BF4"/>
    <w:rsid w:val="00256E58"/>
    <w:rsid w:val="00257051"/>
    <w:rsid w:val="00260896"/>
    <w:rsid w:val="002632F9"/>
    <w:rsid w:val="00266365"/>
    <w:rsid w:val="00271E24"/>
    <w:rsid w:val="0027291F"/>
    <w:rsid w:val="00272925"/>
    <w:rsid w:val="00272B0C"/>
    <w:rsid w:val="00272C0B"/>
    <w:rsid w:val="0027359E"/>
    <w:rsid w:val="00273CA3"/>
    <w:rsid w:val="00274507"/>
    <w:rsid w:val="002749D7"/>
    <w:rsid w:val="00274CAA"/>
    <w:rsid w:val="002761E2"/>
    <w:rsid w:val="00280AF0"/>
    <w:rsid w:val="0028262D"/>
    <w:rsid w:val="002859D7"/>
    <w:rsid w:val="0028674D"/>
    <w:rsid w:val="00286B46"/>
    <w:rsid w:val="002901A5"/>
    <w:rsid w:val="00291713"/>
    <w:rsid w:val="002940CA"/>
    <w:rsid w:val="0029434C"/>
    <w:rsid w:val="00294A32"/>
    <w:rsid w:val="002950DF"/>
    <w:rsid w:val="002950E5"/>
    <w:rsid w:val="00297508"/>
    <w:rsid w:val="00297AE1"/>
    <w:rsid w:val="002A02B4"/>
    <w:rsid w:val="002A1BA6"/>
    <w:rsid w:val="002A1BDE"/>
    <w:rsid w:val="002A3C9C"/>
    <w:rsid w:val="002A3D77"/>
    <w:rsid w:val="002A47AB"/>
    <w:rsid w:val="002A48B7"/>
    <w:rsid w:val="002A5FE0"/>
    <w:rsid w:val="002A6730"/>
    <w:rsid w:val="002A68B7"/>
    <w:rsid w:val="002A6F85"/>
    <w:rsid w:val="002B0511"/>
    <w:rsid w:val="002B24D9"/>
    <w:rsid w:val="002B2EFC"/>
    <w:rsid w:val="002B351D"/>
    <w:rsid w:val="002B519A"/>
    <w:rsid w:val="002B5E01"/>
    <w:rsid w:val="002B6AC4"/>
    <w:rsid w:val="002B7E75"/>
    <w:rsid w:val="002C42F9"/>
    <w:rsid w:val="002C51D0"/>
    <w:rsid w:val="002C558A"/>
    <w:rsid w:val="002C5623"/>
    <w:rsid w:val="002C6433"/>
    <w:rsid w:val="002C6B36"/>
    <w:rsid w:val="002C6E18"/>
    <w:rsid w:val="002C6F64"/>
    <w:rsid w:val="002C7D07"/>
    <w:rsid w:val="002D0057"/>
    <w:rsid w:val="002D067D"/>
    <w:rsid w:val="002D14E5"/>
    <w:rsid w:val="002D1CEE"/>
    <w:rsid w:val="002D23A6"/>
    <w:rsid w:val="002D3767"/>
    <w:rsid w:val="002D5170"/>
    <w:rsid w:val="002D5FA7"/>
    <w:rsid w:val="002D705F"/>
    <w:rsid w:val="002D7A10"/>
    <w:rsid w:val="002E0874"/>
    <w:rsid w:val="002E08DF"/>
    <w:rsid w:val="002E16BB"/>
    <w:rsid w:val="002E23E5"/>
    <w:rsid w:val="002E5503"/>
    <w:rsid w:val="002E567D"/>
    <w:rsid w:val="002E6113"/>
    <w:rsid w:val="002E637A"/>
    <w:rsid w:val="002E6CC1"/>
    <w:rsid w:val="002F192A"/>
    <w:rsid w:val="002F47F1"/>
    <w:rsid w:val="002F5BD1"/>
    <w:rsid w:val="00300634"/>
    <w:rsid w:val="003019A5"/>
    <w:rsid w:val="00301E40"/>
    <w:rsid w:val="00305DA1"/>
    <w:rsid w:val="00305F4D"/>
    <w:rsid w:val="003068CA"/>
    <w:rsid w:val="00307299"/>
    <w:rsid w:val="003079C9"/>
    <w:rsid w:val="00310130"/>
    <w:rsid w:val="003102FA"/>
    <w:rsid w:val="0031203D"/>
    <w:rsid w:val="00313536"/>
    <w:rsid w:val="00314262"/>
    <w:rsid w:val="00314410"/>
    <w:rsid w:val="00315965"/>
    <w:rsid w:val="00315B59"/>
    <w:rsid w:val="003164D6"/>
    <w:rsid w:val="00316AB0"/>
    <w:rsid w:val="00316BBB"/>
    <w:rsid w:val="00321081"/>
    <w:rsid w:val="00321282"/>
    <w:rsid w:val="00322CCE"/>
    <w:rsid w:val="00322DDC"/>
    <w:rsid w:val="0032441D"/>
    <w:rsid w:val="00326877"/>
    <w:rsid w:val="003268B9"/>
    <w:rsid w:val="00327C05"/>
    <w:rsid w:val="00331DCC"/>
    <w:rsid w:val="003324FC"/>
    <w:rsid w:val="0033285C"/>
    <w:rsid w:val="00333D97"/>
    <w:rsid w:val="003353E0"/>
    <w:rsid w:val="003359EF"/>
    <w:rsid w:val="0033650C"/>
    <w:rsid w:val="00340B60"/>
    <w:rsid w:val="00341670"/>
    <w:rsid w:val="003419A2"/>
    <w:rsid w:val="00341AD5"/>
    <w:rsid w:val="003428D9"/>
    <w:rsid w:val="0034373B"/>
    <w:rsid w:val="00346461"/>
    <w:rsid w:val="00350668"/>
    <w:rsid w:val="0035120D"/>
    <w:rsid w:val="003518C4"/>
    <w:rsid w:val="00357813"/>
    <w:rsid w:val="003623FB"/>
    <w:rsid w:val="00362A32"/>
    <w:rsid w:val="00362A58"/>
    <w:rsid w:val="0036583E"/>
    <w:rsid w:val="00367045"/>
    <w:rsid w:val="00367CA5"/>
    <w:rsid w:val="0037025E"/>
    <w:rsid w:val="0037166F"/>
    <w:rsid w:val="0037184A"/>
    <w:rsid w:val="0037432B"/>
    <w:rsid w:val="003761EB"/>
    <w:rsid w:val="0037627B"/>
    <w:rsid w:val="003824B3"/>
    <w:rsid w:val="00391F1B"/>
    <w:rsid w:val="003928EA"/>
    <w:rsid w:val="00393579"/>
    <w:rsid w:val="00396431"/>
    <w:rsid w:val="00396B8E"/>
    <w:rsid w:val="003A01FA"/>
    <w:rsid w:val="003A125B"/>
    <w:rsid w:val="003A18C3"/>
    <w:rsid w:val="003A1FD4"/>
    <w:rsid w:val="003A3A92"/>
    <w:rsid w:val="003A3B9E"/>
    <w:rsid w:val="003A6AF7"/>
    <w:rsid w:val="003B10D8"/>
    <w:rsid w:val="003B2436"/>
    <w:rsid w:val="003B2930"/>
    <w:rsid w:val="003B50CC"/>
    <w:rsid w:val="003B678F"/>
    <w:rsid w:val="003B6ADE"/>
    <w:rsid w:val="003B76A7"/>
    <w:rsid w:val="003B788E"/>
    <w:rsid w:val="003B7BD4"/>
    <w:rsid w:val="003C09A4"/>
    <w:rsid w:val="003C0C29"/>
    <w:rsid w:val="003C0CB9"/>
    <w:rsid w:val="003C25FD"/>
    <w:rsid w:val="003C2FCB"/>
    <w:rsid w:val="003C34BE"/>
    <w:rsid w:val="003C353A"/>
    <w:rsid w:val="003C3D14"/>
    <w:rsid w:val="003C53EC"/>
    <w:rsid w:val="003C79D3"/>
    <w:rsid w:val="003C7D6D"/>
    <w:rsid w:val="003D0EA8"/>
    <w:rsid w:val="003D584F"/>
    <w:rsid w:val="003E00B2"/>
    <w:rsid w:val="003E1BB3"/>
    <w:rsid w:val="003E210B"/>
    <w:rsid w:val="003E3CBF"/>
    <w:rsid w:val="003E422C"/>
    <w:rsid w:val="003E572E"/>
    <w:rsid w:val="003E5E5B"/>
    <w:rsid w:val="003E624A"/>
    <w:rsid w:val="003E6C97"/>
    <w:rsid w:val="003E6F53"/>
    <w:rsid w:val="003F26CB"/>
    <w:rsid w:val="003F2D35"/>
    <w:rsid w:val="003F3A6D"/>
    <w:rsid w:val="003F3C94"/>
    <w:rsid w:val="003F57AD"/>
    <w:rsid w:val="003F71DD"/>
    <w:rsid w:val="003F74FB"/>
    <w:rsid w:val="003F7894"/>
    <w:rsid w:val="00401978"/>
    <w:rsid w:val="00404233"/>
    <w:rsid w:val="00404514"/>
    <w:rsid w:val="00404CA3"/>
    <w:rsid w:val="00407FB8"/>
    <w:rsid w:val="0041155A"/>
    <w:rsid w:val="00411DAC"/>
    <w:rsid w:val="004147DD"/>
    <w:rsid w:val="00416110"/>
    <w:rsid w:val="004162B3"/>
    <w:rsid w:val="00417075"/>
    <w:rsid w:val="004176D7"/>
    <w:rsid w:val="00420F40"/>
    <w:rsid w:val="00421C4C"/>
    <w:rsid w:val="00422B65"/>
    <w:rsid w:val="004232CC"/>
    <w:rsid w:val="00423321"/>
    <w:rsid w:val="00423E93"/>
    <w:rsid w:val="00425C72"/>
    <w:rsid w:val="00425ECB"/>
    <w:rsid w:val="004261D9"/>
    <w:rsid w:val="00426753"/>
    <w:rsid w:val="00430556"/>
    <w:rsid w:val="00430559"/>
    <w:rsid w:val="00430810"/>
    <w:rsid w:val="00431540"/>
    <w:rsid w:val="00431C9F"/>
    <w:rsid w:val="00432782"/>
    <w:rsid w:val="0043375B"/>
    <w:rsid w:val="00435B75"/>
    <w:rsid w:val="00435E05"/>
    <w:rsid w:val="00436898"/>
    <w:rsid w:val="00436AEB"/>
    <w:rsid w:val="004376A6"/>
    <w:rsid w:val="00440184"/>
    <w:rsid w:val="004404D3"/>
    <w:rsid w:val="00442F9B"/>
    <w:rsid w:val="004431D3"/>
    <w:rsid w:val="00443325"/>
    <w:rsid w:val="004439C1"/>
    <w:rsid w:val="00443F18"/>
    <w:rsid w:val="004454B8"/>
    <w:rsid w:val="00445E0B"/>
    <w:rsid w:val="00446B54"/>
    <w:rsid w:val="00447F35"/>
    <w:rsid w:val="00447FCB"/>
    <w:rsid w:val="004513DF"/>
    <w:rsid w:val="00451CDE"/>
    <w:rsid w:val="00451F46"/>
    <w:rsid w:val="004522E7"/>
    <w:rsid w:val="00453A0F"/>
    <w:rsid w:val="004543E8"/>
    <w:rsid w:val="00454FFF"/>
    <w:rsid w:val="00457B2A"/>
    <w:rsid w:val="00461033"/>
    <w:rsid w:val="0046164F"/>
    <w:rsid w:val="00462AF9"/>
    <w:rsid w:val="0046321D"/>
    <w:rsid w:val="00463E8C"/>
    <w:rsid w:val="0046670B"/>
    <w:rsid w:val="00467677"/>
    <w:rsid w:val="004700C9"/>
    <w:rsid w:val="0047107B"/>
    <w:rsid w:val="00474461"/>
    <w:rsid w:val="00474D1A"/>
    <w:rsid w:val="004756A0"/>
    <w:rsid w:val="004762FB"/>
    <w:rsid w:val="004768CA"/>
    <w:rsid w:val="004779C3"/>
    <w:rsid w:val="00477E3A"/>
    <w:rsid w:val="00481C9B"/>
    <w:rsid w:val="004856B3"/>
    <w:rsid w:val="0048687C"/>
    <w:rsid w:val="004879D6"/>
    <w:rsid w:val="00490150"/>
    <w:rsid w:val="00490B57"/>
    <w:rsid w:val="00491E6B"/>
    <w:rsid w:val="00492415"/>
    <w:rsid w:val="004925CB"/>
    <w:rsid w:val="004929A3"/>
    <w:rsid w:val="004949D2"/>
    <w:rsid w:val="00494D76"/>
    <w:rsid w:val="00495DA4"/>
    <w:rsid w:val="004A4594"/>
    <w:rsid w:val="004B0EB0"/>
    <w:rsid w:val="004B1FD8"/>
    <w:rsid w:val="004B65F1"/>
    <w:rsid w:val="004C3A5D"/>
    <w:rsid w:val="004C4F4F"/>
    <w:rsid w:val="004C4FE0"/>
    <w:rsid w:val="004D0FF9"/>
    <w:rsid w:val="004D283F"/>
    <w:rsid w:val="004D2D48"/>
    <w:rsid w:val="004D2F82"/>
    <w:rsid w:val="004D3261"/>
    <w:rsid w:val="004D326F"/>
    <w:rsid w:val="004D3AE6"/>
    <w:rsid w:val="004D4186"/>
    <w:rsid w:val="004D478F"/>
    <w:rsid w:val="004D496E"/>
    <w:rsid w:val="004D5216"/>
    <w:rsid w:val="004E001A"/>
    <w:rsid w:val="004E2928"/>
    <w:rsid w:val="004E2ECC"/>
    <w:rsid w:val="004E5E6B"/>
    <w:rsid w:val="004F3478"/>
    <w:rsid w:val="004F443B"/>
    <w:rsid w:val="004F6CAC"/>
    <w:rsid w:val="004F7803"/>
    <w:rsid w:val="004F7B24"/>
    <w:rsid w:val="00500352"/>
    <w:rsid w:val="00501C58"/>
    <w:rsid w:val="005022B1"/>
    <w:rsid w:val="00502707"/>
    <w:rsid w:val="0050318E"/>
    <w:rsid w:val="00505677"/>
    <w:rsid w:val="00505CE8"/>
    <w:rsid w:val="0051031A"/>
    <w:rsid w:val="00510C85"/>
    <w:rsid w:val="00510FE9"/>
    <w:rsid w:val="00512C3A"/>
    <w:rsid w:val="0051304C"/>
    <w:rsid w:val="00513A42"/>
    <w:rsid w:val="00513EFC"/>
    <w:rsid w:val="00514DFD"/>
    <w:rsid w:val="00515EC0"/>
    <w:rsid w:val="00516074"/>
    <w:rsid w:val="0051630F"/>
    <w:rsid w:val="00517D6A"/>
    <w:rsid w:val="00521831"/>
    <w:rsid w:val="00522E07"/>
    <w:rsid w:val="00522EC6"/>
    <w:rsid w:val="00523167"/>
    <w:rsid w:val="005238AC"/>
    <w:rsid w:val="00524824"/>
    <w:rsid w:val="00525F02"/>
    <w:rsid w:val="00526343"/>
    <w:rsid w:val="00532D04"/>
    <w:rsid w:val="00532D4E"/>
    <w:rsid w:val="00532F47"/>
    <w:rsid w:val="0053308D"/>
    <w:rsid w:val="00533630"/>
    <w:rsid w:val="00533CFC"/>
    <w:rsid w:val="00534DA5"/>
    <w:rsid w:val="005363E0"/>
    <w:rsid w:val="00537C1B"/>
    <w:rsid w:val="0054124D"/>
    <w:rsid w:val="00542078"/>
    <w:rsid w:val="00542B10"/>
    <w:rsid w:val="00544B07"/>
    <w:rsid w:val="0054791E"/>
    <w:rsid w:val="005479B3"/>
    <w:rsid w:val="005517C5"/>
    <w:rsid w:val="005520A9"/>
    <w:rsid w:val="00555E0E"/>
    <w:rsid w:val="00556849"/>
    <w:rsid w:val="00556D16"/>
    <w:rsid w:val="00557CAC"/>
    <w:rsid w:val="005607DA"/>
    <w:rsid w:val="00563816"/>
    <w:rsid w:val="00563B2D"/>
    <w:rsid w:val="0056484F"/>
    <w:rsid w:val="00564ACE"/>
    <w:rsid w:val="00566575"/>
    <w:rsid w:val="00566909"/>
    <w:rsid w:val="00571F3A"/>
    <w:rsid w:val="005739FD"/>
    <w:rsid w:val="00575DE7"/>
    <w:rsid w:val="005764A8"/>
    <w:rsid w:val="00576B53"/>
    <w:rsid w:val="005772ED"/>
    <w:rsid w:val="0057740A"/>
    <w:rsid w:val="005775B5"/>
    <w:rsid w:val="00580B1E"/>
    <w:rsid w:val="00581B71"/>
    <w:rsid w:val="005821D3"/>
    <w:rsid w:val="005828AA"/>
    <w:rsid w:val="00582D26"/>
    <w:rsid w:val="005832C8"/>
    <w:rsid w:val="00583448"/>
    <w:rsid w:val="00583A85"/>
    <w:rsid w:val="00585601"/>
    <w:rsid w:val="0058797D"/>
    <w:rsid w:val="00587F42"/>
    <w:rsid w:val="005911AC"/>
    <w:rsid w:val="00591318"/>
    <w:rsid w:val="0059435F"/>
    <w:rsid w:val="00594AFC"/>
    <w:rsid w:val="00594BC2"/>
    <w:rsid w:val="00594F0D"/>
    <w:rsid w:val="005953FA"/>
    <w:rsid w:val="00596319"/>
    <w:rsid w:val="005A0A22"/>
    <w:rsid w:val="005A17B8"/>
    <w:rsid w:val="005A18CD"/>
    <w:rsid w:val="005A31A8"/>
    <w:rsid w:val="005A71EF"/>
    <w:rsid w:val="005A7E5E"/>
    <w:rsid w:val="005B296A"/>
    <w:rsid w:val="005B37F8"/>
    <w:rsid w:val="005B441A"/>
    <w:rsid w:val="005B62E9"/>
    <w:rsid w:val="005B65A1"/>
    <w:rsid w:val="005B77A6"/>
    <w:rsid w:val="005C0A9E"/>
    <w:rsid w:val="005C3FB3"/>
    <w:rsid w:val="005C454A"/>
    <w:rsid w:val="005C48AE"/>
    <w:rsid w:val="005C4D03"/>
    <w:rsid w:val="005C56E2"/>
    <w:rsid w:val="005C68D2"/>
    <w:rsid w:val="005D055A"/>
    <w:rsid w:val="005D144C"/>
    <w:rsid w:val="005D2D84"/>
    <w:rsid w:val="005D3F71"/>
    <w:rsid w:val="005D4280"/>
    <w:rsid w:val="005D465C"/>
    <w:rsid w:val="005D566A"/>
    <w:rsid w:val="005D6A78"/>
    <w:rsid w:val="005E04D8"/>
    <w:rsid w:val="005E07AB"/>
    <w:rsid w:val="005E0B63"/>
    <w:rsid w:val="005E0BDA"/>
    <w:rsid w:val="005E1094"/>
    <w:rsid w:val="005E24E7"/>
    <w:rsid w:val="005E2A44"/>
    <w:rsid w:val="005E64A3"/>
    <w:rsid w:val="005E6A7C"/>
    <w:rsid w:val="005E79E9"/>
    <w:rsid w:val="005F0004"/>
    <w:rsid w:val="005F02F9"/>
    <w:rsid w:val="005F112B"/>
    <w:rsid w:val="005F1700"/>
    <w:rsid w:val="005F19C7"/>
    <w:rsid w:val="005F269B"/>
    <w:rsid w:val="005F29D6"/>
    <w:rsid w:val="005F3CDE"/>
    <w:rsid w:val="005F5755"/>
    <w:rsid w:val="005F6BDA"/>
    <w:rsid w:val="006024A6"/>
    <w:rsid w:val="006027DF"/>
    <w:rsid w:val="0060369F"/>
    <w:rsid w:val="00603CB8"/>
    <w:rsid w:val="006040FA"/>
    <w:rsid w:val="00610957"/>
    <w:rsid w:val="00611222"/>
    <w:rsid w:val="006127F7"/>
    <w:rsid w:val="006131B5"/>
    <w:rsid w:val="006145F8"/>
    <w:rsid w:val="00614DF6"/>
    <w:rsid w:val="00617CD4"/>
    <w:rsid w:val="0062170C"/>
    <w:rsid w:val="00623E86"/>
    <w:rsid w:val="00624F8C"/>
    <w:rsid w:val="006269A6"/>
    <w:rsid w:val="00627252"/>
    <w:rsid w:val="006274B6"/>
    <w:rsid w:val="006329E7"/>
    <w:rsid w:val="00633B3F"/>
    <w:rsid w:val="0063445B"/>
    <w:rsid w:val="0063503D"/>
    <w:rsid w:val="006350AC"/>
    <w:rsid w:val="00636D56"/>
    <w:rsid w:val="006376AC"/>
    <w:rsid w:val="00637E51"/>
    <w:rsid w:val="006405EF"/>
    <w:rsid w:val="00640F49"/>
    <w:rsid w:val="006461C5"/>
    <w:rsid w:val="00646B98"/>
    <w:rsid w:val="006506C9"/>
    <w:rsid w:val="00650DBD"/>
    <w:rsid w:val="006541D9"/>
    <w:rsid w:val="006548A3"/>
    <w:rsid w:val="00655147"/>
    <w:rsid w:val="00655DE3"/>
    <w:rsid w:val="00657117"/>
    <w:rsid w:val="006601A1"/>
    <w:rsid w:val="00660A53"/>
    <w:rsid w:val="00661C7C"/>
    <w:rsid w:val="0066418E"/>
    <w:rsid w:val="00666C49"/>
    <w:rsid w:val="00671834"/>
    <w:rsid w:val="00671C41"/>
    <w:rsid w:val="00671D32"/>
    <w:rsid w:val="00672F60"/>
    <w:rsid w:val="00673D9F"/>
    <w:rsid w:val="00673FC3"/>
    <w:rsid w:val="006749CA"/>
    <w:rsid w:val="0067653D"/>
    <w:rsid w:val="00676D5F"/>
    <w:rsid w:val="006773B5"/>
    <w:rsid w:val="0068029A"/>
    <w:rsid w:val="00680842"/>
    <w:rsid w:val="00681817"/>
    <w:rsid w:val="00682811"/>
    <w:rsid w:val="00683529"/>
    <w:rsid w:val="0068450C"/>
    <w:rsid w:val="006921B5"/>
    <w:rsid w:val="00692DAE"/>
    <w:rsid w:val="00693AE7"/>
    <w:rsid w:val="006940D3"/>
    <w:rsid w:val="00697DD9"/>
    <w:rsid w:val="006A0B39"/>
    <w:rsid w:val="006A0E05"/>
    <w:rsid w:val="006A21CE"/>
    <w:rsid w:val="006A3472"/>
    <w:rsid w:val="006A4A2C"/>
    <w:rsid w:val="006A5129"/>
    <w:rsid w:val="006A54B7"/>
    <w:rsid w:val="006A57DF"/>
    <w:rsid w:val="006B0474"/>
    <w:rsid w:val="006B08C9"/>
    <w:rsid w:val="006B1109"/>
    <w:rsid w:val="006B1327"/>
    <w:rsid w:val="006B134E"/>
    <w:rsid w:val="006B1E92"/>
    <w:rsid w:val="006B22C3"/>
    <w:rsid w:val="006B25C7"/>
    <w:rsid w:val="006B5F81"/>
    <w:rsid w:val="006B6644"/>
    <w:rsid w:val="006B697F"/>
    <w:rsid w:val="006B71F0"/>
    <w:rsid w:val="006C1951"/>
    <w:rsid w:val="006C232D"/>
    <w:rsid w:val="006C363A"/>
    <w:rsid w:val="006C4007"/>
    <w:rsid w:val="006C6088"/>
    <w:rsid w:val="006C653E"/>
    <w:rsid w:val="006C69B8"/>
    <w:rsid w:val="006C6EB4"/>
    <w:rsid w:val="006C7A31"/>
    <w:rsid w:val="006C7AB1"/>
    <w:rsid w:val="006C7BF7"/>
    <w:rsid w:val="006C7CEC"/>
    <w:rsid w:val="006D08AA"/>
    <w:rsid w:val="006D08DB"/>
    <w:rsid w:val="006D1365"/>
    <w:rsid w:val="006D145C"/>
    <w:rsid w:val="006D2930"/>
    <w:rsid w:val="006D59A2"/>
    <w:rsid w:val="006D6909"/>
    <w:rsid w:val="006D7FBA"/>
    <w:rsid w:val="006E0B1C"/>
    <w:rsid w:val="006E239A"/>
    <w:rsid w:val="006E491E"/>
    <w:rsid w:val="006E5087"/>
    <w:rsid w:val="006E67E6"/>
    <w:rsid w:val="006F4376"/>
    <w:rsid w:val="006F4896"/>
    <w:rsid w:val="006F6225"/>
    <w:rsid w:val="006F6996"/>
    <w:rsid w:val="00701389"/>
    <w:rsid w:val="00702033"/>
    <w:rsid w:val="0070249C"/>
    <w:rsid w:val="00703650"/>
    <w:rsid w:val="00703673"/>
    <w:rsid w:val="00703CD6"/>
    <w:rsid w:val="0070441C"/>
    <w:rsid w:val="00704630"/>
    <w:rsid w:val="007048EC"/>
    <w:rsid w:val="0070571C"/>
    <w:rsid w:val="007071E6"/>
    <w:rsid w:val="00710B52"/>
    <w:rsid w:val="00711ECF"/>
    <w:rsid w:val="0071378F"/>
    <w:rsid w:val="00716351"/>
    <w:rsid w:val="00716BC4"/>
    <w:rsid w:val="0071700E"/>
    <w:rsid w:val="00717FF9"/>
    <w:rsid w:val="00721AA1"/>
    <w:rsid w:val="007242F8"/>
    <w:rsid w:val="00724309"/>
    <w:rsid w:val="00724B8E"/>
    <w:rsid w:val="00725467"/>
    <w:rsid w:val="00726FC9"/>
    <w:rsid w:val="00727B43"/>
    <w:rsid w:val="00730D39"/>
    <w:rsid w:val="007315DA"/>
    <w:rsid w:val="0073230A"/>
    <w:rsid w:val="007337F1"/>
    <w:rsid w:val="00734AE1"/>
    <w:rsid w:val="00734CA3"/>
    <w:rsid w:val="00735C75"/>
    <w:rsid w:val="0073735D"/>
    <w:rsid w:val="00737D5D"/>
    <w:rsid w:val="00740444"/>
    <w:rsid w:val="00741476"/>
    <w:rsid w:val="00742D9A"/>
    <w:rsid w:val="0074385B"/>
    <w:rsid w:val="007443E9"/>
    <w:rsid w:val="00745331"/>
    <w:rsid w:val="00745B9A"/>
    <w:rsid w:val="007464A5"/>
    <w:rsid w:val="00746682"/>
    <w:rsid w:val="00752618"/>
    <w:rsid w:val="00753A2E"/>
    <w:rsid w:val="00754075"/>
    <w:rsid w:val="00754786"/>
    <w:rsid w:val="00755C35"/>
    <w:rsid w:val="00757684"/>
    <w:rsid w:val="00761CB8"/>
    <w:rsid w:val="00762888"/>
    <w:rsid w:val="007632F7"/>
    <w:rsid w:val="00764155"/>
    <w:rsid w:val="00764173"/>
    <w:rsid w:val="0076519B"/>
    <w:rsid w:val="00770915"/>
    <w:rsid w:val="00770C9A"/>
    <w:rsid w:val="00771014"/>
    <w:rsid w:val="00771B1B"/>
    <w:rsid w:val="00772FBB"/>
    <w:rsid w:val="0077344A"/>
    <w:rsid w:val="00774C72"/>
    <w:rsid w:val="00775379"/>
    <w:rsid w:val="007763FD"/>
    <w:rsid w:val="00780376"/>
    <w:rsid w:val="00781709"/>
    <w:rsid w:val="007819A1"/>
    <w:rsid w:val="00782948"/>
    <w:rsid w:val="00783E1F"/>
    <w:rsid w:val="00784D58"/>
    <w:rsid w:val="007853CE"/>
    <w:rsid w:val="00785443"/>
    <w:rsid w:val="007861B5"/>
    <w:rsid w:val="007866FE"/>
    <w:rsid w:val="0078725B"/>
    <w:rsid w:val="007875F1"/>
    <w:rsid w:val="0079046E"/>
    <w:rsid w:val="00790A8F"/>
    <w:rsid w:val="007921AA"/>
    <w:rsid w:val="007925ED"/>
    <w:rsid w:val="00792D0C"/>
    <w:rsid w:val="00793634"/>
    <w:rsid w:val="0079366A"/>
    <w:rsid w:val="007938AF"/>
    <w:rsid w:val="00794C14"/>
    <w:rsid w:val="00796C09"/>
    <w:rsid w:val="007A563A"/>
    <w:rsid w:val="007A5A70"/>
    <w:rsid w:val="007A6B76"/>
    <w:rsid w:val="007A6BA9"/>
    <w:rsid w:val="007A7A02"/>
    <w:rsid w:val="007A7C18"/>
    <w:rsid w:val="007B2704"/>
    <w:rsid w:val="007B2C20"/>
    <w:rsid w:val="007B320D"/>
    <w:rsid w:val="007B5822"/>
    <w:rsid w:val="007B6444"/>
    <w:rsid w:val="007C145D"/>
    <w:rsid w:val="007C19A9"/>
    <w:rsid w:val="007C3253"/>
    <w:rsid w:val="007C326A"/>
    <w:rsid w:val="007C3327"/>
    <w:rsid w:val="007C3878"/>
    <w:rsid w:val="007C3E33"/>
    <w:rsid w:val="007C4D8C"/>
    <w:rsid w:val="007C57C0"/>
    <w:rsid w:val="007C58B6"/>
    <w:rsid w:val="007C6290"/>
    <w:rsid w:val="007C62EC"/>
    <w:rsid w:val="007C66DC"/>
    <w:rsid w:val="007C7EF0"/>
    <w:rsid w:val="007D0B4A"/>
    <w:rsid w:val="007D100B"/>
    <w:rsid w:val="007D1385"/>
    <w:rsid w:val="007D2D76"/>
    <w:rsid w:val="007D42B8"/>
    <w:rsid w:val="007D46C8"/>
    <w:rsid w:val="007D49F8"/>
    <w:rsid w:val="007E04DF"/>
    <w:rsid w:val="007E1248"/>
    <w:rsid w:val="007E12F8"/>
    <w:rsid w:val="007E298A"/>
    <w:rsid w:val="007E2DEB"/>
    <w:rsid w:val="007E3BBA"/>
    <w:rsid w:val="007E3C35"/>
    <w:rsid w:val="007E4BFD"/>
    <w:rsid w:val="007E5388"/>
    <w:rsid w:val="007F1132"/>
    <w:rsid w:val="007F1BF2"/>
    <w:rsid w:val="007F254E"/>
    <w:rsid w:val="007F33FF"/>
    <w:rsid w:val="007F36CA"/>
    <w:rsid w:val="007F41D3"/>
    <w:rsid w:val="007F4CAF"/>
    <w:rsid w:val="007F5F0F"/>
    <w:rsid w:val="007F74EB"/>
    <w:rsid w:val="008006F1"/>
    <w:rsid w:val="00800AFB"/>
    <w:rsid w:val="0080139F"/>
    <w:rsid w:val="00801DE8"/>
    <w:rsid w:val="00803429"/>
    <w:rsid w:val="00804682"/>
    <w:rsid w:val="008047AE"/>
    <w:rsid w:val="00806B87"/>
    <w:rsid w:val="00810914"/>
    <w:rsid w:val="00810B54"/>
    <w:rsid w:val="00812AED"/>
    <w:rsid w:val="008141EF"/>
    <w:rsid w:val="008169D5"/>
    <w:rsid w:val="00817925"/>
    <w:rsid w:val="008179F2"/>
    <w:rsid w:val="008216C9"/>
    <w:rsid w:val="00822206"/>
    <w:rsid w:val="00822E3D"/>
    <w:rsid w:val="00824B27"/>
    <w:rsid w:val="0082679F"/>
    <w:rsid w:val="0082775E"/>
    <w:rsid w:val="00830003"/>
    <w:rsid w:val="00831184"/>
    <w:rsid w:val="00831F71"/>
    <w:rsid w:val="00832998"/>
    <w:rsid w:val="00833BF5"/>
    <w:rsid w:val="00834842"/>
    <w:rsid w:val="008349BF"/>
    <w:rsid w:val="0083625B"/>
    <w:rsid w:val="008365C0"/>
    <w:rsid w:val="008370CD"/>
    <w:rsid w:val="008374E7"/>
    <w:rsid w:val="00837860"/>
    <w:rsid w:val="00837F74"/>
    <w:rsid w:val="0084068A"/>
    <w:rsid w:val="008407AA"/>
    <w:rsid w:val="00840BC6"/>
    <w:rsid w:val="008420DC"/>
    <w:rsid w:val="00843309"/>
    <w:rsid w:val="008434D2"/>
    <w:rsid w:val="008452D8"/>
    <w:rsid w:val="00847847"/>
    <w:rsid w:val="00850D16"/>
    <w:rsid w:val="00850DF5"/>
    <w:rsid w:val="00851168"/>
    <w:rsid w:val="008527EE"/>
    <w:rsid w:val="008554A4"/>
    <w:rsid w:val="0085562F"/>
    <w:rsid w:val="00855969"/>
    <w:rsid w:val="00857E47"/>
    <w:rsid w:val="00860310"/>
    <w:rsid w:val="008603A0"/>
    <w:rsid w:val="00860402"/>
    <w:rsid w:val="0086130E"/>
    <w:rsid w:val="00861A4F"/>
    <w:rsid w:val="00861C06"/>
    <w:rsid w:val="008626A5"/>
    <w:rsid w:val="00862977"/>
    <w:rsid w:val="00862FA3"/>
    <w:rsid w:val="008640A1"/>
    <w:rsid w:val="0086443F"/>
    <w:rsid w:val="00864BBB"/>
    <w:rsid w:val="00865551"/>
    <w:rsid w:val="0086565A"/>
    <w:rsid w:val="0086565C"/>
    <w:rsid w:val="008668BA"/>
    <w:rsid w:val="00867BA2"/>
    <w:rsid w:val="00867D45"/>
    <w:rsid w:val="00870CDD"/>
    <w:rsid w:val="00872B7C"/>
    <w:rsid w:val="00873E0A"/>
    <w:rsid w:val="008760C5"/>
    <w:rsid w:val="00876624"/>
    <w:rsid w:val="00877AAD"/>
    <w:rsid w:val="00877D60"/>
    <w:rsid w:val="0088090E"/>
    <w:rsid w:val="00881F26"/>
    <w:rsid w:val="008844E4"/>
    <w:rsid w:val="00885DC8"/>
    <w:rsid w:val="00886828"/>
    <w:rsid w:val="0088737D"/>
    <w:rsid w:val="00887E53"/>
    <w:rsid w:val="00887E9B"/>
    <w:rsid w:val="00890351"/>
    <w:rsid w:val="00890D30"/>
    <w:rsid w:val="0089140D"/>
    <w:rsid w:val="008918E3"/>
    <w:rsid w:val="00894B48"/>
    <w:rsid w:val="00894CC3"/>
    <w:rsid w:val="008956D9"/>
    <w:rsid w:val="00897F59"/>
    <w:rsid w:val="008A0870"/>
    <w:rsid w:val="008A15DC"/>
    <w:rsid w:val="008A188D"/>
    <w:rsid w:val="008A1F62"/>
    <w:rsid w:val="008A2D2F"/>
    <w:rsid w:val="008A2F22"/>
    <w:rsid w:val="008A2FED"/>
    <w:rsid w:val="008A35F6"/>
    <w:rsid w:val="008A45CD"/>
    <w:rsid w:val="008A79F6"/>
    <w:rsid w:val="008A7A0F"/>
    <w:rsid w:val="008B10EF"/>
    <w:rsid w:val="008B1253"/>
    <w:rsid w:val="008B2DB2"/>
    <w:rsid w:val="008B39F4"/>
    <w:rsid w:val="008B4498"/>
    <w:rsid w:val="008B489E"/>
    <w:rsid w:val="008B4CBE"/>
    <w:rsid w:val="008B5E54"/>
    <w:rsid w:val="008B6CCD"/>
    <w:rsid w:val="008B6EB2"/>
    <w:rsid w:val="008C21DE"/>
    <w:rsid w:val="008C37D7"/>
    <w:rsid w:val="008C49D0"/>
    <w:rsid w:val="008C5158"/>
    <w:rsid w:val="008C535D"/>
    <w:rsid w:val="008C62DA"/>
    <w:rsid w:val="008C63E5"/>
    <w:rsid w:val="008C7304"/>
    <w:rsid w:val="008D2AA6"/>
    <w:rsid w:val="008D4705"/>
    <w:rsid w:val="008D5175"/>
    <w:rsid w:val="008D53B2"/>
    <w:rsid w:val="008D62B5"/>
    <w:rsid w:val="008D7DE1"/>
    <w:rsid w:val="008E0431"/>
    <w:rsid w:val="008E2BED"/>
    <w:rsid w:val="008E48B6"/>
    <w:rsid w:val="008E55C9"/>
    <w:rsid w:val="008E5623"/>
    <w:rsid w:val="008E65EA"/>
    <w:rsid w:val="008E6BB0"/>
    <w:rsid w:val="008E6CE9"/>
    <w:rsid w:val="008E7D0A"/>
    <w:rsid w:val="008F0D32"/>
    <w:rsid w:val="008F1CF9"/>
    <w:rsid w:val="008F29FC"/>
    <w:rsid w:val="008F43C1"/>
    <w:rsid w:val="008F586A"/>
    <w:rsid w:val="008F7C3B"/>
    <w:rsid w:val="00900E2A"/>
    <w:rsid w:val="0090190A"/>
    <w:rsid w:val="00906C87"/>
    <w:rsid w:val="0091244C"/>
    <w:rsid w:val="00913588"/>
    <w:rsid w:val="009136D5"/>
    <w:rsid w:val="009137DF"/>
    <w:rsid w:val="00913D6C"/>
    <w:rsid w:val="0091496A"/>
    <w:rsid w:val="00914DF5"/>
    <w:rsid w:val="00915741"/>
    <w:rsid w:val="00915AAF"/>
    <w:rsid w:val="00917075"/>
    <w:rsid w:val="00917AF9"/>
    <w:rsid w:val="009201F9"/>
    <w:rsid w:val="00920AEE"/>
    <w:rsid w:val="0092145B"/>
    <w:rsid w:val="0092186D"/>
    <w:rsid w:val="009233F7"/>
    <w:rsid w:val="00923B7C"/>
    <w:rsid w:val="00924E55"/>
    <w:rsid w:val="00926011"/>
    <w:rsid w:val="00926B94"/>
    <w:rsid w:val="00926F88"/>
    <w:rsid w:val="0093099D"/>
    <w:rsid w:val="00930FE8"/>
    <w:rsid w:val="00932F12"/>
    <w:rsid w:val="0093399C"/>
    <w:rsid w:val="00933B51"/>
    <w:rsid w:val="009348C0"/>
    <w:rsid w:val="00935B4F"/>
    <w:rsid w:val="00936DA5"/>
    <w:rsid w:val="00937324"/>
    <w:rsid w:val="009405C0"/>
    <w:rsid w:val="009410FC"/>
    <w:rsid w:val="00942DBA"/>
    <w:rsid w:val="00945A1B"/>
    <w:rsid w:val="009500D4"/>
    <w:rsid w:val="0095090C"/>
    <w:rsid w:val="00950E25"/>
    <w:rsid w:val="00951E32"/>
    <w:rsid w:val="00952EC1"/>
    <w:rsid w:val="00956827"/>
    <w:rsid w:val="0096092A"/>
    <w:rsid w:val="009613F8"/>
    <w:rsid w:val="00962242"/>
    <w:rsid w:val="00962AD6"/>
    <w:rsid w:val="00964950"/>
    <w:rsid w:val="00965892"/>
    <w:rsid w:val="00965C7C"/>
    <w:rsid w:val="00966745"/>
    <w:rsid w:val="0097080D"/>
    <w:rsid w:val="00970EBE"/>
    <w:rsid w:val="00971D99"/>
    <w:rsid w:val="00974C53"/>
    <w:rsid w:val="00974D3F"/>
    <w:rsid w:val="00975D05"/>
    <w:rsid w:val="009801D5"/>
    <w:rsid w:val="00981506"/>
    <w:rsid w:val="009828EE"/>
    <w:rsid w:val="009829C5"/>
    <w:rsid w:val="0098348A"/>
    <w:rsid w:val="0098416F"/>
    <w:rsid w:val="00990C7A"/>
    <w:rsid w:val="0099218C"/>
    <w:rsid w:val="009936F3"/>
    <w:rsid w:val="00994F51"/>
    <w:rsid w:val="00995354"/>
    <w:rsid w:val="00995681"/>
    <w:rsid w:val="009961F3"/>
    <w:rsid w:val="00996D62"/>
    <w:rsid w:val="009A0E4F"/>
    <w:rsid w:val="009A1B54"/>
    <w:rsid w:val="009A3A7E"/>
    <w:rsid w:val="009A3B44"/>
    <w:rsid w:val="009A6E96"/>
    <w:rsid w:val="009A73B5"/>
    <w:rsid w:val="009A7766"/>
    <w:rsid w:val="009A7992"/>
    <w:rsid w:val="009A7AE8"/>
    <w:rsid w:val="009B0DCB"/>
    <w:rsid w:val="009B44BE"/>
    <w:rsid w:val="009B5FCD"/>
    <w:rsid w:val="009B6EFB"/>
    <w:rsid w:val="009C1401"/>
    <w:rsid w:val="009C1507"/>
    <w:rsid w:val="009C15C1"/>
    <w:rsid w:val="009C34DD"/>
    <w:rsid w:val="009C397D"/>
    <w:rsid w:val="009C5758"/>
    <w:rsid w:val="009D0F95"/>
    <w:rsid w:val="009D2248"/>
    <w:rsid w:val="009D289B"/>
    <w:rsid w:val="009D38B6"/>
    <w:rsid w:val="009D49CC"/>
    <w:rsid w:val="009D4C47"/>
    <w:rsid w:val="009D5159"/>
    <w:rsid w:val="009D5E61"/>
    <w:rsid w:val="009D7CFF"/>
    <w:rsid w:val="009E109B"/>
    <w:rsid w:val="009E2F1F"/>
    <w:rsid w:val="009E4865"/>
    <w:rsid w:val="009E4D60"/>
    <w:rsid w:val="009E6959"/>
    <w:rsid w:val="009F1ED6"/>
    <w:rsid w:val="009F21A1"/>
    <w:rsid w:val="009F34AD"/>
    <w:rsid w:val="009F4806"/>
    <w:rsid w:val="009F7E2C"/>
    <w:rsid w:val="00A0117B"/>
    <w:rsid w:val="00A019F7"/>
    <w:rsid w:val="00A0210E"/>
    <w:rsid w:val="00A0272A"/>
    <w:rsid w:val="00A03379"/>
    <w:rsid w:val="00A04AC5"/>
    <w:rsid w:val="00A05567"/>
    <w:rsid w:val="00A05BD7"/>
    <w:rsid w:val="00A06149"/>
    <w:rsid w:val="00A06CA9"/>
    <w:rsid w:val="00A07812"/>
    <w:rsid w:val="00A10156"/>
    <w:rsid w:val="00A10AF7"/>
    <w:rsid w:val="00A10E95"/>
    <w:rsid w:val="00A12979"/>
    <w:rsid w:val="00A1363B"/>
    <w:rsid w:val="00A14006"/>
    <w:rsid w:val="00A14C70"/>
    <w:rsid w:val="00A17866"/>
    <w:rsid w:val="00A22CB7"/>
    <w:rsid w:val="00A23144"/>
    <w:rsid w:val="00A239EC"/>
    <w:rsid w:val="00A35B88"/>
    <w:rsid w:val="00A36A2E"/>
    <w:rsid w:val="00A37BD5"/>
    <w:rsid w:val="00A41EA9"/>
    <w:rsid w:val="00A42110"/>
    <w:rsid w:val="00A4435F"/>
    <w:rsid w:val="00A4565E"/>
    <w:rsid w:val="00A4654F"/>
    <w:rsid w:val="00A505FB"/>
    <w:rsid w:val="00A5067A"/>
    <w:rsid w:val="00A510B1"/>
    <w:rsid w:val="00A52358"/>
    <w:rsid w:val="00A523E6"/>
    <w:rsid w:val="00A52A8D"/>
    <w:rsid w:val="00A5301F"/>
    <w:rsid w:val="00A539DB"/>
    <w:rsid w:val="00A53CDF"/>
    <w:rsid w:val="00A549F2"/>
    <w:rsid w:val="00A54CFC"/>
    <w:rsid w:val="00A54EC3"/>
    <w:rsid w:val="00A55764"/>
    <w:rsid w:val="00A602EC"/>
    <w:rsid w:val="00A60656"/>
    <w:rsid w:val="00A617D7"/>
    <w:rsid w:val="00A63AE5"/>
    <w:rsid w:val="00A64BD4"/>
    <w:rsid w:val="00A64EE6"/>
    <w:rsid w:val="00A65FA3"/>
    <w:rsid w:val="00A665B5"/>
    <w:rsid w:val="00A67C63"/>
    <w:rsid w:val="00A7110C"/>
    <w:rsid w:val="00A7183C"/>
    <w:rsid w:val="00A732DE"/>
    <w:rsid w:val="00A75E2D"/>
    <w:rsid w:val="00A75FB4"/>
    <w:rsid w:val="00A776E0"/>
    <w:rsid w:val="00A80008"/>
    <w:rsid w:val="00A80C4E"/>
    <w:rsid w:val="00A8249E"/>
    <w:rsid w:val="00A825EA"/>
    <w:rsid w:val="00A8281E"/>
    <w:rsid w:val="00A8317C"/>
    <w:rsid w:val="00A8465D"/>
    <w:rsid w:val="00A850E3"/>
    <w:rsid w:val="00A86088"/>
    <w:rsid w:val="00A865A3"/>
    <w:rsid w:val="00A87FAB"/>
    <w:rsid w:val="00A906EB"/>
    <w:rsid w:val="00A90BE5"/>
    <w:rsid w:val="00A90C79"/>
    <w:rsid w:val="00A91801"/>
    <w:rsid w:val="00A9201B"/>
    <w:rsid w:val="00A924FA"/>
    <w:rsid w:val="00A93E48"/>
    <w:rsid w:val="00A95334"/>
    <w:rsid w:val="00A96118"/>
    <w:rsid w:val="00A97131"/>
    <w:rsid w:val="00A973B9"/>
    <w:rsid w:val="00AA0519"/>
    <w:rsid w:val="00AA3374"/>
    <w:rsid w:val="00AA3C63"/>
    <w:rsid w:val="00AA500B"/>
    <w:rsid w:val="00AA6302"/>
    <w:rsid w:val="00AA7614"/>
    <w:rsid w:val="00AA7E5D"/>
    <w:rsid w:val="00AB1929"/>
    <w:rsid w:val="00AB2628"/>
    <w:rsid w:val="00AB2997"/>
    <w:rsid w:val="00AB3517"/>
    <w:rsid w:val="00AB4EDB"/>
    <w:rsid w:val="00AB4F7B"/>
    <w:rsid w:val="00AB687B"/>
    <w:rsid w:val="00AB6B10"/>
    <w:rsid w:val="00AB6DDA"/>
    <w:rsid w:val="00AC0AA7"/>
    <w:rsid w:val="00AC3877"/>
    <w:rsid w:val="00AC3943"/>
    <w:rsid w:val="00AC4594"/>
    <w:rsid w:val="00AC47F8"/>
    <w:rsid w:val="00AC5867"/>
    <w:rsid w:val="00AC5D86"/>
    <w:rsid w:val="00AC5F4A"/>
    <w:rsid w:val="00AD019A"/>
    <w:rsid w:val="00AD32AE"/>
    <w:rsid w:val="00AD71E0"/>
    <w:rsid w:val="00AD7E33"/>
    <w:rsid w:val="00AE03FB"/>
    <w:rsid w:val="00AE15A5"/>
    <w:rsid w:val="00AE2EBB"/>
    <w:rsid w:val="00AE50D9"/>
    <w:rsid w:val="00AE7201"/>
    <w:rsid w:val="00AF0F72"/>
    <w:rsid w:val="00AF1E6A"/>
    <w:rsid w:val="00AF1FE9"/>
    <w:rsid w:val="00AF2F0C"/>
    <w:rsid w:val="00AF4A08"/>
    <w:rsid w:val="00AF79BD"/>
    <w:rsid w:val="00AF7C9D"/>
    <w:rsid w:val="00B000E8"/>
    <w:rsid w:val="00B02F1B"/>
    <w:rsid w:val="00B03ED0"/>
    <w:rsid w:val="00B04074"/>
    <w:rsid w:val="00B048CB"/>
    <w:rsid w:val="00B05A19"/>
    <w:rsid w:val="00B05BED"/>
    <w:rsid w:val="00B0626A"/>
    <w:rsid w:val="00B06DB1"/>
    <w:rsid w:val="00B10CA4"/>
    <w:rsid w:val="00B112CB"/>
    <w:rsid w:val="00B116A1"/>
    <w:rsid w:val="00B11885"/>
    <w:rsid w:val="00B1239E"/>
    <w:rsid w:val="00B124E7"/>
    <w:rsid w:val="00B12FF4"/>
    <w:rsid w:val="00B134D1"/>
    <w:rsid w:val="00B1390F"/>
    <w:rsid w:val="00B13CB3"/>
    <w:rsid w:val="00B1482C"/>
    <w:rsid w:val="00B168E5"/>
    <w:rsid w:val="00B20317"/>
    <w:rsid w:val="00B235ED"/>
    <w:rsid w:val="00B243CD"/>
    <w:rsid w:val="00B24E0D"/>
    <w:rsid w:val="00B251F3"/>
    <w:rsid w:val="00B269D7"/>
    <w:rsid w:val="00B27D14"/>
    <w:rsid w:val="00B31CD9"/>
    <w:rsid w:val="00B34226"/>
    <w:rsid w:val="00B34B58"/>
    <w:rsid w:val="00B3530A"/>
    <w:rsid w:val="00B353B0"/>
    <w:rsid w:val="00B35FDA"/>
    <w:rsid w:val="00B36A96"/>
    <w:rsid w:val="00B4438F"/>
    <w:rsid w:val="00B44940"/>
    <w:rsid w:val="00B458F6"/>
    <w:rsid w:val="00B51975"/>
    <w:rsid w:val="00B51FE4"/>
    <w:rsid w:val="00B52509"/>
    <w:rsid w:val="00B554E3"/>
    <w:rsid w:val="00B55DEC"/>
    <w:rsid w:val="00B56809"/>
    <w:rsid w:val="00B60147"/>
    <w:rsid w:val="00B60256"/>
    <w:rsid w:val="00B623F5"/>
    <w:rsid w:val="00B62508"/>
    <w:rsid w:val="00B62981"/>
    <w:rsid w:val="00B62A4F"/>
    <w:rsid w:val="00B63763"/>
    <w:rsid w:val="00B64219"/>
    <w:rsid w:val="00B64921"/>
    <w:rsid w:val="00B65B92"/>
    <w:rsid w:val="00B65F4B"/>
    <w:rsid w:val="00B664C8"/>
    <w:rsid w:val="00B670D6"/>
    <w:rsid w:val="00B674B1"/>
    <w:rsid w:val="00B67912"/>
    <w:rsid w:val="00B67F75"/>
    <w:rsid w:val="00B7003F"/>
    <w:rsid w:val="00B71511"/>
    <w:rsid w:val="00B72DFB"/>
    <w:rsid w:val="00B7304A"/>
    <w:rsid w:val="00B737B4"/>
    <w:rsid w:val="00B73AA4"/>
    <w:rsid w:val="00B73AE0"/>
    <w:rsid w:val="00B751D6"/>
    <w:rsid w:val="00B754D1"/>
    <w:rsid w:val="00B759F6"/>
    <w:rsid w:val="00B763D7"/>
    <w:rsid w:val="00B8281E"/>
    <w:rsid w:val="00B84086"/>
    <w:rsid w:val="00B84ECE"/>
    <w:rsid w:val="00B85C71"/>
    <w:rsid w:val="00B860F2"/>
    <w:rsid w:val="00B8617C"/>
    <w:rsid w:val="00B903B5"/>
    <w:rsid w:val="00B90CD4"/>
    <w:rsid w:val="00B91776"/>
    <w:rsid w:val="00B925C8"/>
    <w:rsid w:val="00B93EF8"/>
    <w:rsid w:val="00B9572B"/>
    <w:rsid w:val="00B9586A"/>
    <w:rsid w:val="00B95F90"/>
    <w:rsid w:val="00B97A55"/>
    <w:rsid w:val="00BA0D71"/>
    <w:rsid w:val="00BA5525"/>
    <w:rsid w:val="00BA6FA9"/>
    <w:rsid w:val="00BB0FD4"/>
    <w:rsid w:val="00BB1FA9"/>
    <w:rsid w:val="00BB25BC"/>
    <w:rsid w:val="00BB3C43"/>
    <w:rsid w:val="00BB4217"/>
    <w:rsid w:val="00BB55F6"/>
    <w:rsid w:val="00BB5BED"/>
    <w:rsid w:val="00BB62C0"/>
    <w:rsid w:val="00BC0DDF"/>
    <w:rsid w:val="00BC1F6C"/>
    <w:rsid w:val="00BC2C55"/>
    <w:rsid w:val="00BC4374"/>
    <w:rsid w:val="00BC4F7C"/>
    <w:rsid w:val="00BC5397"/>
    <w:rsid w:val="00BC5850"/>
    <w:rsid w:val="00BC62B3"/>
    <w:rsid w:val="00BC6846"/>
    <w:rsid w:val="00BC6A70"/>
    <w:rsid w:val="00BD0CEE"/>
    <w:rsid w:val="00BD1F7E"/>
    <w:rsid w:val="00BD306D"/>
    <w:rsid w:val="00BD363A"/>
    <w:rsid w:val="00BD52FF"/>
    <w:rsid w:val="00BD5314"/>
    <w:rsid w:val="00BD5A68"/>
    <w:rsid w:val="00BE1363"/>
    <w:rsid w:val="00BE26AF"/>
    <w:rsid w:val="00BE4D23"/>
    <w:rsid w:val="00BF0AD4"/>
    <w:rsid w:val="00BF22CE"/>
    <w:rsid w:val="00BF281E"/>
    <w:rsid w:val="00BF65D9"/>
    <w:rsid w:val="00C015B3"/>
    <w:rsid w:val="00C01B74"/>
    <w:rsid w:val="00C01D91"/>
    <w:rsid w:val="00C03D8F"/>
    <w:rsid w:val="00C0634F"/>
    <w:rsid w:val="00C068DC"/>
    <w:rsid w:val="00C1021D"/>
    <w:rsid w:val="00C1078A"/>
    <w:rsid w:val="00C10C0A"/>
    <w:rsid w:val="00C126A0"/>
    <w:rsid w:val="00C144D3"/>
    <w:rsid w:val="00C150D5"/>
    <w:rsid w:val="00C22751"/>
    <w:rsid w:val="00C22A2D"/>
    <w:rsid w:val="00C31495"/>
    <w:rsid w:val="00C31B38"/>
    <w:rsid w:val="00C32B8D"/>
    <w:rsid w:val="00C345B9"/>
    <w:rsid w:val="00C34EBD"/>
    <w:rsid w:val="00C4003F"/>
    <w:rsid w:val="00C40CCA"/>
    <w:rsid w:val="00C419CD"/>
    <w:rsid w:val="00C42277"/>
    <w:rsid w:val="00C43081"/>
    <w:rsid w:val="00C43B81"/>
    <w:rsid w:val="00C4400F"/>
    <w:rsid w:val="00C46CE2"/>
    <w:rsid w:val="00C46D1C"/>
    <w:rsid w:val="00C46F73"/>
    <w:rsid w:val="00C477B7"/>
    <w:rsid w:val="00C51395"/>
    <w:rsid w:val="00C52025"/>
    <w:rsid w:val="00C54122"/>
    <w:rsid w:val="00C56C96"/>
    <w:rsid w:val="00C57A64"/>
    <w:rsid w:val="00C60427"/>
    <w:rsid w:val="00C606D3"/>
    <w:rsid w:val="00C60BDB"/>
    <w:rsid w:val="00C63FFE"/>
    <w:rsid w:val="00C64685"/>
    <w:rsid w:val="00C64E48"/>
    <w:rsid w:val="00C6513D"/>
    <w:rsid w:val="00C65AAA"/>
    <w:rsid w:val="00C66B1F"/>
    <w:rsid w:val="00C670B3"/>
    <w:rsid w:val="00C67C5D"/>
    <w:rsid w:val="00C67D88"/>
    <w:rsid w:val="00C71AB1"/>
    <w:rsid w:val="00C72899"/>
    <w:rsid w:val="00C72A08"/>
    <w:rsid w:val="00C73805"/>
    <w:rsid w:val="00C75EDF"/>
    <w:rsid w:val="00C765F4"/>
    <w:rsid w:val="00C81B22"/>
    <w:rsid w:val="00C82009"/>
    <w:rsid w:val="00C82282"/>
    <w:rsid w:val="00C8266F"/>
    <w:rsid w:val="00C8296D"/>
    <w:rsid w:val="00C86DE8"/>
    <w:rsid w:val="00C87999"/>
    <w:rsid w:val="00C87BD0"/>
    <w:rsid w:val="00C9081D"/>
    <w:rsid w:val="00C917B3"/>
    <w:rsid w:val="00C93320"/>
    <w:rsid w:val="00C9466A"/>
    <w:rsid w:val="00C94D40"/>
    <w:rsid w:val="00C94F62"/>
    <w:rsid w:val="00C95C0B"/>
    <w:rsid w:val="00C967DF"/>
    <w:rsid w:val="00C9796B"/>
    <w:rsid w:val="00CA0577"/>
    <w:rsid w:val="00CA089C"/>
    <w:rsid w:val="00CA0DEF"/>
    <w:rsid w:val="00CA104A"/>
    <w:rsid w:val="00CA148D"/>
    <w:rsid w:val="00CA1FCE"/>
    <w:rsid w:val="00CA633A"/>
    <w:rsid w:val="00CA6DCD"/>
    <w:rsid w:val="00CA78FB"/>
    <w:rsid w:val="00CB096A"/>
    <w:rsid w:val="00CB09D7"/>
    <w:rsid w:val="00CB0DBA"/>
    <w:rsid w:val="00CB131F"/>
    <w:rsid w:val="00CB25E5"/>
    <w:rsid w:val="00CB2ABD"/>
    <w:rsid w:val="00CB3D2E"/>
    <w:rsid w:val="00CB45BE"/>
    <w:rsid w:val="00CB498D"/>
    <w:rsid w:val="00CB6516"/>
    <w:rsid w:val="00CB6D23"/>
    <w:rsid w:val="00CB7E84"/>
    <w:rsid w:val="00CC06C9"/>
    <w:rsid w:val="00CC40B2"/>
    <w:rsid w:val="00CC40CF"/>
    <w:rsid w:val="00CC5239"/>
    <w:rsid w:val="00CC542E"/>
    <w:rsid w:val="00CC5D7A"/>
    <w:rsid w:val="00CC68FF"/>
    <w:rsid w:val="00CC6AF1"/>
    <w:rsid w:val="00CD0856"/>
    <w:rsid w:val="00CD17D2"/>
    <w:rsid w:val="00CD1CEC"/>
    <w:rsid w:val="00CD2A36"/>
    <w:rsid w:val="00CD308B"/>
    <w:rsid w:val="00CD3B85"/>
    <w:rsid w:val="00CD474F"/>
    <w:rsid w:val="00CD4DE6"/>
    <w:rsid w:val="00CD69F7"/>
    <w:rsid w:val="00CD7103"/>
    <w:rsid w:val="00CD75D0"/>
    <w:rsid w:val="00CE1CFF"/>
    <w:rsid w:val="00CE2212"/>
    <w:rsid w:val="00CE327B"/>
    <w:rsid w:val="00CE40B2"/>
    <w:rsid w:val="00CE427A"/>
    <w:rsid w:val="00CE49B9"/>
    <w:rsid w:val="00CE5C84"/>
    <w:rsid w:val="00CE6562"/>
    <w:rsid w:val="00CE665A"/>
    <w:rsid w:val="00CE6B6F"/>
    <w:rsid w:val="00CE7ABD"/>
    <w:rsid w:val="00CE7AE3"/>
    <w:rsid w:val="00CF0279"/>
    <w:rsid w:val="00CF1DAD"/>
    <w:rsid w:val="00CF2E63"/>
    <w:rsid w:val="00CF3A5C"/>
    <w:rsid w:val="00CF427D"/>
    <w:rsid w:val="00CF5060"/>
    <w:rsid w:val="00CF659C"/>
    <w:rsid w:val="00CF6AE2"/>
    <w:rsid w:val="00D00DF3"/>
    <w:rsid w:val="00D01F57"/>
    <w:rsid w:val="00D02E70"/>
    <w:rsid w:val="00D03ACF"/>
    <w:rsid w:val="00D04142"/>
    <w:rsid w:val="00D04312"/>
    <w:rsid w:val="00D046F4"/>
    <w:rsid w:val="00D05B1F"/>
    <w:rsid w:val="00D06ECA"/>
    <w:rsid w:val="00D146A4"/>
    <w:rsid w:val="00D14CEA"/>
    <w:rsid w:val="00D14CF9"/>
    <w:rsid w:val="00D150CA"/>
    <w:rsid w:val="00D156FF"/>
    <w:rsid w:val="00D20652"/>
    <w:rsid w:val="00D2065C"/>
    <w:rsid w:val="00D233B5"/>
    <w:rsid w:val="00D23A6F"/>
    <w:rsid w:val="00D23E86"/>
    <w:rsid w:val="00D24072"/>
    <w:rsid w:val="00D242B1"/>
    <w:rsid w:val="00D24A09"/>
    <w:rsid w:val="00D26218"/>
    <w:rsid w:val="00D27796"/>
    <w:rsid w:val="00D27A46"/>
    <w:rsid w:val="00D3174B"/>
    <w:rsid w:val="00D3394E"/>
    <w:rsid w:val="00D339D1"/>
    <w:rsid w:val="00D33C12"/>
    <w:rsid w:val="00D35E68"/>
    <w:rsid w:val="00D36159"/>
    <w:rsid w:val="00D40541"/>
    <w:rsid w:val="00D40F94"/>
    <w:rsid w:val="00D41104"/>
    <w:rsid w:val="00D4207C"/>
    <w:rsid w:val="00D4231D"/>
    <w:rsid w:val="00D43781"/>
    <w:rsid w:val="00D45201"/>
    <w:rsid w:val="00D454D1"/>
    <w:rsid w:val="00D4554F"/>
    <w:rsid w:val="00D465C6"/>
    <w:rsid w:val="00D46E8E"/>
    <w:rsid w:val="00D46EEF"/>
    <w:rsid w:val="00D4717F"/>
    <w:rsid w:val="00D47262"/>
    <w:rsid w:val="00D5013F"/>
    <w:rsid w:val="00D510E1"/>
    <w:rsid w:val="00D5158C"/>
    <w:rsid w:val="00D520DF"/>
    <w:rsid w:val="00D550C9"/>
    <w:rsid w:val="00D563A5"/>
    <w:rsid w:val="00D57328"/>
    <w:rsid w:val="00D60D75"/>
    <w:rsid w:val="00D626E1"/>
    <w:rsid w:val="00D6324D"/>
    <w:rsid w:val="00D64B37"/>
    <w:rsid w:val="00D652F8"/>
    <w:rsid w:val="00D659B5"/>
    <w:rsid w:val="00D66C82"/>
    <w:rsid w:val="00D71730"/>
    <w:rsid w:val="00D74DB8"/>
    <w:rsid w:val="00D76631"/>
    <w:rsid w:val="00D76B18"/>
    <w:rsid w:val="00D82A76"/>
    <w:rsid w:val="00D82D8C"/>
    <w:rsid w:val="00D83567"/>
    <w:rsid w:val="00D83717"/>
    <w:rsid w:val="00D83EC0"/>
    <w:rsid w:val="00D83F08"/>
    <w:rsid w:val="00D85B9C"/>
    <w:rsid w:val="00D85FF0"/>
    <w:rsid w:val="00D86104"/>
    <w:rsid w:val="00D861F2"/>
    <w:rsid w:val="00D929B1"/>
    <w:rsid w:val="00D9568A"/>
    <w:rsid w:val="00D95A14"/>
    <w:rsid w:val="00D96229"/>
    <w:rsid w:val="00D96D56"/>
    <w:rsid w:val="00DA1065"/>
    <w:rsid w:val="00DA131F"/>
    <w:rsid w:val="00DA236E"/>
    <w:rsid w:val="00DA2B12"/>
    <w:rsid w:val="00DA2C5D"/>
    <w:rsid w:val="00DA2DF5"/>
    <w:rsid w:val="00DA606B"/>
    <w:rsid w:val="00DA6887"/>
    <w:rsid w:val="00DA7439"/>
    <w:rsid w:val="00DB00B3"/>
    <w:rsid w:val="00DB0A18"/>
    <w:rsid w:val="00DB0FA6"/>
    <w:rsid w:val="00DB1EDB"/>
    <w:rsid w:val="00DB2C2D"/>
    <w:rsid w:val="00DB3386"/>
    <w:rsid w:val="00DB356E"/>
    <w:rsid w:val="00DB46B0"/>
    <w:rsid w:val="00DB6AED"/>
    <w:rsid w:val="00DB7CC8"/>
    <w:rsid w:val="00DC0370"/>
    <w:rsid w:val="00DC16C5"/>
    <w:rsid w:val="00DC1CF9"/>
    <w:rsid w:val="00DC1EE2"/>
    <w:rsid w:val="00DC2AB6"/>
    <w:rsid w:val="00DD0AC5"/>
    <w:rsid w:val="00DD1CB4"/>
    <w:rsid w:val="00DD37EE"/>
    <w:rsid w:val="00DD3DA4"/>
    <w:rsid w:val="00DD4B07"/>
    <w:rsid w:val="00DD4E8A"/>
    <w:rsid w:val="00DD50CB"/>
    <w:rsid w:val="00DD6161"/>
    <w:rsid w:val="00DE2B25"/>
    <w:rsid w:val="00DE40FB"/>
    <w:rsid w:val="00DE5450"/>
    <w:rsid w:val="00DE603C"/>
    <w:rsid w:val="00DE64FF"/>
    <w:rsid w:val="00DE737E"/>
    <w:rsid w:val="00DF043C"/>
    <w:rsid w:val="00DF3977"/>
    <w:rsid w:val="00DF69ED"/>
    <w:rsid w:val="00DF6DE6"/>
    <w:rsid w:val="00E011E7"/>
    <w:rsid w:val="00E023F0"/>
    <w:rsid w:val="00E02DB8"/>
    <w:rsid w:val="00E05BCF"/>
    <w:rsid w:val="00E10F15"/>
    <w:rsid w:val="00E119A5"/>
    <w:rsid w:val="00E12901"/>
    <w:rsid w:val="00E1684A"/>
    <w:rsid w:val="00E172E9"/>
    <w:rsid w:val="00E17939"/>
    <w:rsid w:val="00E208FF"/>
    <w:rsid w:val="00E220AB"/>
    <w:rsid w:val="00E22300"/>
    <w:rsid w:val="00E24550"/>
    <w:rsid w:val="00E24F2C"/>
    <w:rsid w:val="00E250A1"/>
    <w:rsid w:val="00E26929"/>
    <w:rsid w:val="00E277ED"/>
    <w:rsid w:val="00E30156"/>
    <w:rsid w:val="00E36F5C"/>
    <w:rsid w:val="00E42ACD"/>
    <w:rsid w:val="00E436C7"/>
    <w:rsid w:val="00E44B92"/>
    <w:rsid w:val="00E510BB"/>
    <w:rsid w:val="00E51B98"/>
    <w:rsid w:val="00E522E8"/>
    <w:rsid w:val="00E54316"/>
    <w:rsid w:val="00E547DE"/>
    <w:rsid w:val="00E54CDD"/>
    <w:rsid w:val="00E555A9"/>
    <w:rsid w:val="00E5661C"/>
    <w:rsid w:val="00E56939"/>
    <w:rsid w:val="00E61863"/>
    <w:rsid w:val="00E62304"/>
    <w:rsid w:val="00E63384"/>
    <w:rsid w:val="00E6366F"/>
    <w:rsid w:val="00E65EC4"/>
    <w:rsid w:val="00E66736"/>
    <w:rsid w:val="00E672A7"/>
    <w:rsid w:val="00E67F76"/>
    <w:rsid w:val="00E70029"/>
    <w:rsid w:val="00E7048F"/>
    <w:rsid w:val="00E70CE2"/>
    <w:rsid w:val="00E71C4E"/>
    <w:rsid w:val="00E71FFE"/>
    <w:rsid w:val="00E735A1"/>
    <w:rsid w:val="00E748E5"/>
    <w:rsid w:val="00E77404"/>
    <w:rsid w:val="00E83244"/>
    <w:rsid w:val="00E83743"/>
    <w:rsid w:val="00E858C0"/>
    <w:rsid w:val="00E85E88"/>
    <w:rsid w:val="00E87417"/>
    <w:rsid w:val="00E87ECA"/>
    <w:rsid w:val="00E91FE1"/>
    <w:rsid w:val="00E9263A"/>
    <w:rsid w:val="00E946CB"/>
    <w:rsid w:val="00E953F9"/>
    <w:rsid w:val="00E95865"/>
    <w:rsid w:val="00E96417"/>
    <w:rsid w:val="00E9669B"/>
    <w:rsid w:val="00E978C6"/>
    <w:rsid w:val="00EA0B99"/>
    <w:rsid w:val="00EA0D4E"/>
    <w:rsid w:val="00EA0E40"/>
    <w:rsid w:val="00EA180E"/>
    <w:rsid w:val="00EA1BF8"/>
    <w:rsid w:val="00EA3DBC"/>
    <w:rsid w:val="00EA51E7"/>
    <w:rsid w:val="00EA6717"/>
    <w:rsid w:val="00EA6EA8"/>
    <w:rsid w:val="00EB0365"/>
    <w:rsid w:val="00EB0759"/>
    <w:rsid w:val="00EB1428"/>
    <w:rsid w:val="00EB191A"/>
    <w:rsid w:val="00EB1D2C"/>
    <w:rsid w:val="00EB2B02"/>
    <w:rsid w:val="00EB40D9"/>
    <w:rsid w:val="00EB421A"/>
    <w:rsid w:val="00EB4F3C"/>
    <w:rsid w:val="00EB6A02"/>
    <w:rsid w:val="00EB77E0"/>
    <w:rsid w:val="00EC05D0"/>
    <w:rsid w:val="00EC09E7"/>
    <w:rsid w:val="00EC0B69"/>
    <w:rsid w:val="00EC20D3"/>
    <w:rsid w:val="00EC2220"/>
    <w:rsid w:val="00EC2564"/>
    <w:rsid w:val="00EC29A1"/>
    <w:rsid w:val="00EC2EC6"/>
    <w:rsid w:val="00EC3789"/>
    <w:rsid w:val="00EC4C5A"/>
    <w:rsid w:val="00EC5341"/>
    <w:rsid w:val="00EC6207"/>
    <w:rsid w:val="00EC75BA"/>
    <w:rsid w:val="00ED09C5"/>
    <w:rsid w:val="00ED0CDC"/>
    <w:rsid w:val="00ED11EB"/>
    <w:rsid w:val="00ED1835"/>
    <w:rsid w:val="00ED3E82"/>
    <w:rsid w:val="00ED611C"/>
    <w:rsid w:val="00ED6765"/>
    <w:rsid w:val="00ED70FA"/>
    <w:rsid w:val="00ED7595"/>
    <w:rsid w:val="00ED7CF6"/>
    <w:rsid w:val="00EE1764"/>
    <w:rsid w:val="00EE4017"/>
    <w:rsid w:val="00EE6116"/>
    <w:rsid w:val="00EE72B7"/>
    <w:rsid w:val="00EF10DB"/>
    <w:rsid w:val="00EF1B3A"/>
    <w:rsid w:val="00EF23A3"/>
    <w:rsid w:val="00EF26A9"/>
    <w:rsid w:val="00EF3770"/>
    <w:rsid w:val="00EF42A3"/>
    <w:rsid w:val="00EF64E9"/>
    <w:rsid w:val="00F0078F"/>
    <w:rsid w:val="00F00817"/>
    <w:rsid w:val="00F00D34"/>
    <w:rsid w:val="00F013AF"/>
    <w:rsid w:val="00F01CF2"/>
    <w:rsid w:val="00F02172"/>
    <w:rsid w:val="00F029D7"/>
    <w:rsid w:val="00F02BCC"/>
    <w:rsid w:val="00F031F4"/>
    <w:rsid w:val="00F03C42"/>
    <w:rsid w:val="00F05661"/>
    <w:rsid w:val="00F06308"/>
    <w:rsid w:val="00F06E4B"/>
    <w:rsid w:val="00F1161F"/>
    <w:rsid w:val="00F12BDF"/>
    <w:rsid w:val="00F12C78"/>
    <w:rsid w:val="00F164E0"/>
    <w:rsid w:val="00F16C43"/>
    <w:rsid w:val="00F2186B"/>
    <w:rsid w:val="00F22094"/>
    <w:rsid w:val="00F221C9"/>
    <w:rsid w:val="00F22C5B"/>
    <w:rsid w:val="00F2543B"/>
    <w:rsid w:val="00F25AE6"/>
    <w:rsid w:val="00F27E2E"/>
    <w:rsid w:val="00F31732"/>
    <w:rsid w:val="00F317A3"/>
    <w:rsid w:val="00F32EE2"/>
    <w:rsid w:val="00F32FF0"/>
    <w:rsid w:val="00F33D17"/>
    <w:rsid w:val="00F34794"/>
    <w:rsid w:val="00F40626"/>
    <w:rsid w:val="00F414E3"/>
    <w:rsid w:val="00F41606"/>
    <w:rsid w:val="00F478D0"/>
    <w:rsid w:val="00F5051E"/>
    <w:rsid w:val="00F5208D"/>
    <w:rsid w:val="00F52D46"/>
    <w:rsid w:val="00F52E00"/>
    <w:rsid w:val="00F536F3"/>
    <w:rsid w:val="00F54006"/>
    <w:rsid w:val="00F5457B"/>
    <w:rsid w:val="00F5458F"/>
    <w:rsid w:val="00F5654D"/>
    <w:rsid w:val="00F57A6E"/>
    <w:rsid w:val="00F57FAF"/>
    <w:rsid w:val="00F6358A"/>
    <w:rsid w:val="00F64CC4"/>
    <w:rsid w:val="00F659BD"/>
    <w:rsid w:val="00F66138"/>
    <w:rsid w:val="00F677BF"/>
    <w:rsid w:val="00F70099"/>
    <w:rsid w:val="00F702F7"/>
    <w:rsid w:val="00F73077"/>
    <w:rsid w:val="00F73C15"/>
    <w:rsid w:val="00F75BD0"/>
    <w:rsid w:val="00F75CD4"/>
    <w:rsid w:val="00F76AF1"/>
    <w:rsid w:val="00F77B0A"/>
    <w:rsid w:val="00F77FAB"/>
    <w:rsid w:val="00F8017E"/>
    <w:rsid w:val="00F815F3"/>
    <w:rsid w:val="00F81FDC"/>
    <w:rsid w:val="00F824F3"/>
    <w:rsid w:val="00F82614"/>
    <w:rsid w:val="00F84935"/>
    <w:rsid w:val="00F853A7"/>
    <w:rsid w:val="00F87418"/>
    <w:rsid w:val="00F91071"/>
    <w:rsid w:val="00F938A8"/>
    <w:rsid w:val="00FA036F"/>
    <w:rsid w:val="00FA07B2"/>
    <w:rsid w:val="00FA3AC0"/>
    <w:rsid w:val="00FA3D8E"/>
    <w:rsid w:val="00FA3DD4"/>
    <w:rsid w:val="00FA4270"/>
    <w:rsid w:val="00FA4B49"/>
    <w:rsid w:val="00FA4C6A"/>
    <w:rsid w:val="00FA504C"/>
    <w:rsid w:val="00FA5614"/>
    <w:rsid w:val="00FA682C"/>
    <w:rsid w:val="00FA7AFE"/>
    <w:rsid w:val="00FB0370"/>
    <w:rsid w:val="00FB083E"/>
    <w:rsid w:val="00FB1EE4"/>
    <w:rsid w:val="00FB31DB"/>
    <w:rsid w:val="00FB354B"/>
    <w:rsid w:val="00FB3AE4"/>
    <w:rsid w:val="00FB3D58"/>
    <w:rsid w:val="00FC0DA7"/>
    <w:rsid w:val="00FC10A4"/>
    <w:rsid w:val="00FC1F29"/>
    <w:rsid w:val="00FC2A89"/>
    <w:rsid w:val="00FC364B"/>
    <w:rsid w:val="00FC3AA6"/>
    <w:rsid w:val="00FC44E6"/>
    <w:rsid w:val="00FC4C60"/>
    <w:rsid w:val="00FC6384"/>
    <w:rsid w:val="00FC721D"/>
    <w:rsid w:val="00FD16EA"/>
    <w:rsid w:val="00FD1920"/>
    <w:rsid w:val="00FD39E3"/>
    <w:rsid w:val="00FD3E01"/>
    <w:rsid w:val="00FD64C0"/>
    <w:rsid w:val="00FE0530"/>
    <w:rsid w:val="00FE3EFF"/>
    <w:rsid w:val="00FE5A47"/>
    <w:rsid w:val="00FE6174"/>
    <w:rsid w:val="00FE7326"/>
    <w:rsid w:val="00FF2C0E"/>
    <w:rsid w:val="00FF2EA7"/>
    <w:rsid w:val="00FF42B8"/>
    <w:rsid w:val="00FF540D"/>
    <w:rsid w:val="00FF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2B1"/>
    <w:rPr>
      <w:sz w:val="22"/>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C80"/>
    <w:pPr>
      <w:tabs>
        <w:tab w:val="center" w:pos="4320"/>
        <w:tab w:val="right" w:pos="8640"/>
      </w:tabs>
    </w:pPr>
  </w:style>
  <w:style w:type="paragraph" w:styleId="Footer">
    <w:name w:val="footer"/>
    <w:basedOn w:val="Normal"/>
    <w:link w:val="FooterChar"/>
    <w:uiPriority w:val="99"/>
    <w:rsid w:val="00180C80"/>
    <w:pPr>
      <w:tabs>
        <w:tab w:val="center" w:pos="4320"/>
        <w:tab w:val="right" w:pos="8640"/>
      </w:tabs>
    </w:pPr>
  </w:style>
  <w:style w:type="table" w:styleId="TableGrid">
    <w:name w:val="Table Grid"/>
    <w:basedOn w:val="TableNormal"/>
    <w:rsid w:val="00C2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2C78"/>
    <w:rPr>
      <w:rFonts w:ascii="Tahoma" w:hAnsi="Tahoma" w:cs="Tahoma"/>
      <w:sz w:val="16"/>
      <w:szCs w:val="16"/>
    </w:rPr>
  </w:style>
  <w:style w:type="paragraph" w:styleId="NormalWeb">
    <w:name w:val="Normal (Web)"/>
    <w:basedOn w:val="Normal"/>
    <w:uiPriority w:val="99"/>
    <w:rsid w:val="00097EC6"/>
    <w:pPr>
      <w:spacing w:before="100" w:beforeAutospacing="1" w:after="100" w:afterAutospacing="1"/>
    </w:pPr>
    <w:rPr>
      <w:lang w:eastAsia="en-GB"/>
    </w:rPr>
  </w:style>
  <w:style w:type="character" w:styleId="Hyperlink">
    <w:name w:val="Hyperlink"/>
    <w:basedOn w:val="DefaultParagraphFont"/>
    <w:rsid w:val="00097EC6"/>
    <w:rPr>
      <w:color w:val="0000FF"/>
      <w:u w:val="single"/>
    </w:rPr>
  </w:style>
  <w:style w:type="paragraph" w:customStyle="1" w:styleId="sdfootnote-western">
    <w:name w:val="sdfootnote-western"/>
    <w:basedOn w:val="Normal"/>
    <w:rsid w:val="00097EC6"/>
    <w:pPr>
      <w:spacing w:before="100" w:beforeAutospacing="1" w:after="100" w:afterAutospacing="1"/>
    </w:pPr>
    <w:rPr>
      <w:lang w:eastAsia="en-GB"/>
    </w:rPr>
  </w:style>
  <w:style w:type="paragraph" w:styleId="EndnoteText">
    <w:name w:val="endnote text"/>
    <w:basedOn w:val="Normal"/>
    <w:semiHidden/>
    <w:rsid w:val="00097EC6"/>
    <w:rPr>
      <w:sz w:val="20"/>
      <w:szCs w:val="20"/>
    </w:rPr>
  </w:style>
  <w:style w:type="character" w:styleId="EndnoteReference">
    <w:name w:val="endnote reference"/>
    <w:basedOn w:val="DefaultParagraphFont"/>
    <w:semiHidden/>
    <w:rsid w:val="00097EC6"/>
    <w:rPr>
      <w:vertAlign w:val="superscript"/>
    </w:rPr>
  </w:style>
  <w:style w:type="paragraph" w:styleId="ListParagraph">
    <w:name w:val="List Paragraph"/>
    <w:basedOn w:val="Normal"/>
    <w:uiPriority w:val="34"/>
    <w:qFormat/>
    <w:rsid w:val="005A7E5E"/>
    <w:pPr>
      <w:ind w:left="720"/>
    </w:pPr>
    <w:rPr>
      <w:rFonts w:eastAsia="Calibri"/>
      <w:sz w:val="24"/>
      <w:lang w:eastAsia="en-GB"/>
    </w:rPr>
  </w:style>
  <w:style w:type="paragraph" w:styleId="FootnoteText">
    <w:name w:val="footnote text"/>
    <w:basedOn w:val="Normal"/>
    <w:link w:val="FootnoteTextChar"/>
    <w:rsid w:val="002F5BD1"/>
    <w:rPr>
      <w:sz w:val="20"/>
      <w:szCs w:val="20"/>
    </w:rPr>
  </w:style>
  <w:style w:type="character" w:customStyle="1" w:styleId="FootnoteTextChar">
    <w:name w:val="Footnote Text Char"/>
    <w:basedOn w:val="DefaultParagraphFont"/>
    <w:link w:val="FootnoteText"/>
    <w:rsid w:val="002F5BD1"/>
    <w:rPr>
      <w:lang w:eastAsia="fr-FR"/>
    </w:rPr>
  </w:style>
  <w:style w:type="character" w:styleId="FootnoteReference">
    <w:name w:val="footnote reference"/>
    <w:basedOn w:val="DefaultParagraphFont"/>
    <w:rsid w:val="002F5BD1"/>
    <w:rPr>
      <w:vertAlign w:val="superscript"/>
    </w:rPr>
  </w:style>
  <w:style w:type="character" w:styleId="CommentReference">
    <w:name w:val="annotation reference"/>
    <w:basedOn w:val="DefaultParagraphFont"/>
    <w:rsid w:val="001E4630"/>
    <w:rPr>
      <w:sz w:val="16"/>
      <w:szCs w:val="16"/>
    </w:rPr>
  </w:style>
  <w:style w:type="paragraph" w:styleId="CommentText">
    <w:name w:val="annotation text"/>
    <w:basedOn w:val="Normal"/>
    <w:link w:val="CommentTextChar"/>
    <w:rsid w:val="001E4630"/>
    <w:rPr>
      <w:sz w:val="20"/>
      <w:szCs w:val="20"/>
    </w:rPr>
  </w:style>
  <w:style w:type="character" w:customStyle="1" w:styleId="CommentTextChar">
    <w:name w:val="Comment Text Char"/>
    <w:basedOn w:val="DefaultParagraphFont"/>
    <w:link w:val="CommentText"/>
    <w:rsid w:val="001E4630"/>
    <w:rPr>
      <w:lang w:eastAsia="fr-FR"/>
    </w:rPr>
  </w:style>
  <w:style w:type="paragraph" w:styleId="CommentSubject">
    <w:name w:val="annotation subject"/>
    <w:basedOn w:val="CommentText"/>
    <w:next w:val="CommentText"/>
    <w:link w:val="CommentSubjectChar"/>
    <w:rsid w:val="001E4630"/>
    <w:rPr>
      <w:b/>
      <w:bCs/>
    </w:rPr>
  </w:style>
  <w:style w:type="character" w:customStyle="1" w:styleId="CommentSubjectChar">
    <w:name w:val="Comment Subject Char"/>
    <w:basedOn w:val="CommentTextChar"/>
    <w:link w:val="CommentSubject"/>
    <w:rsid w:val="001E4630"/>
    <w:rPr>
      <w:b/>
      <w:bCs/>
      <w:lang w:eastAsia="fr-FR"/>
    </w:rPr>
  </w:style>
  <w:style w:type="character" w:styleId="FollowedHyperlink">
    <w:name w:val="FollowedHyperlink"/>
    <w:basedOn w:val="DefaultParagraphFont"/>
    <w:rsid w:val="001E4630"/>
    <w:rPr>
      <w:color w:val="800080" w:themeColor="followedHyperlink"/>
      <w:u w:val="single"/>
    </w:rPr>
  </w:style>
  <w:style w:type="character" w:customStyle="1" w:styleId="FooterChar">
    <w:name w:val="Footer Char"/>
    <w:basedOn w:val="DefaultParagraphFont"/>
    <w:link w:val="Footer"/>
    <w:uiPriority w:val="99"/>
    <w:rsid w:val="005022B1"/>
    <w:rPr>
      <w:sz w:val="22"/>
      <w:szCs w:val="24"/>
      <w:lang w:eastAsia="fr-FR"/>
    </w:rPr>
  </w:style>
  <w:style w:type="paragraph" w:customStyle="1" w:styleId="Default">
    <w:name w:val="Default"/>
    <w:rsid w:val="002A02B4"/>
    <w:pPr>
      <w:autoSpaceDE w:val="0"/>
      <w:autoSpaceDN w:val="0"/>
      <w:adjustRightInd w:val="0"/>
    </w:pPr>
    <w:rPr>
      <w:rFonts w:ascii="Frutiger LT Std 45 Light" w:hAnsi="Frutiger LT Std 45 Light" w:cs="Frutiger LT Std 45 Light"/>
      <w:color w:val="000000"/>
      <w:sz w:val="24"/>
      <w:szCs w:val="24"/>
      <w:lang w:val="en-US" w:eastAsia="en-US"/>
    </w:rPr>
  </w:style>
  <w:style w:type="paragraph" w:customStyle="1" w:styleId="Pa0">
    <w:name w:val="Pa0"/>
    <w:basedOn w:val="Default"/>
    <w:next w:val="Default"/>
    <w:rsid w:val="002A02B4"/>
    <w:pPr>
      <w:spacing w:line="241" w:lineRule="atLeast"/>
    </w:pPr>
    <w:rPr>
      <w:rFonts w:cs="Times New Roman"/>
      <w:color w:val="auto"/>
    </w:rPr>
  </w:style>
  <w:style w:type="character" w:customStyle="1" w:styleId="A3">
    <w:name w:val="A3"/>
    <w:rsid w:val="002A02B4"/>
    <w:rPr>
      <w:rFonts w:cs="Frutiger LT Std 45 Light"/>
      <w:color w:val="000000"/>
      <w:sz w:val="18"/>
      <w:szCs w:val="18"/>
    </w:rPr>
  </w:style>
  <w:style w:type="character" w:customStyle="1" w:styleId="subparatext">
    <w:name w:val="subparatext"/>
    <w:basedOn w:val="DefaultParagraphFont"/>
    <w:rsid w:val="00A37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2B1"/>
    <w:rPr>
      <w:sz w:val="22"/>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C80"/>
    <w:pPr>
      <w:tabs>
        <w:tab w:val="center" w:pos="4320"/>
        <w:tab w:val="right" w:pos="8640"/>
      </w:tabs>
    </w:pPr>
  </w:style>
  <w:style w:type="paragraph" w:styleId="Footer">
    <w:name w:val="footer"/>
    <w:basedOn w:val="Normal"/>
    <w:link w:val="FooterChar"/>
    <w:uiPriority w:val="99"/>
    <w:rsid w:val="00180C80"/>
    <w:pPr>
      <w:tabs>
        <w:tab w:val="center" w:pos="4320"/>
        <w:tab w:val="right" w:pos="8640"/>
      </w:tabs>
    </w:pPr>
  </w:style>
  <w:style w:type="table" w:styleId="TableGrid">
    <w:name w:val="Table Grid"/>
    <w:basedOn w:val="TableNormal"/>
    <w:rsid w:val="00C2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2C78"/>
    <w:rPr>
      <w:rFonts w:ascii="Tahoma" w:hAnsi="Tahoma" w:cs="Tahoma"/>
      <w:sz w:val="16"/>
      <w:szCs w:val="16"/>
    </w:rPr>
  </w:style>
  <w:style w:type="paragraph" w:styleId="NormalWeb">
    <w:name w:val="Normal (Web)"/>
    <w:basedOn w:val="Normal"/>
    <w:uiPriority w:val="99"/>
    <w:rsid w:val="00097EC6"/>
    <w:pPr>
      <w:spacing w:before="100" w:beforeAutospacing="1" w:after="100" w:afterAutospacing="1"/>
    </w:pPr>
    <w:rPr>
      <w:lang w:eastAsia="en-GB"/>
    </w:rPr>
  </w:style>
  <w:style w:type="character" w:styleId="Hyperlink">
    <w:name w:val="Hyperlink"/>
    <w:basedOn w:val="DefaultParagraphFont"/>
    <w:rsid w:val="00097EC6"/>
    <w:rPr>
      <w:color w:val="0000FF"/>
      <w:u w:val="single"/>
    </w:rPr>
  </w:style>
  <w:style w:type="paragraph" w:customStyle="1" w:styleId="sdfootnote-western">
    <w:name w:val="sdfootnote-western"/>
    <w:basedOn w:val="Normal"/>
    <w:rsid w:val="00097EC6"/>
    <w:pPr>
      <w:spacing w:before="100" w:beforeAutospacing="1" w:after="100" w:afterAutospacing="1"/>
    </w:pPr>
    <w:rPr>
      <w:lang w:eastAsia="en-GB"/>
    </w:rPr>
  </w:style>
  <w:style w:type="paragraph" w:styleId="EndnoteText">
    <w:name w:val="endnote text"/>
    <w:basedOn w:val="Normal"/>
    <w:semiHidden/>
    <w:rsid w:val="00097EC6"/>
    <w:rPr>
      <w:sz w:val="20"/>
      <w:szCs w:val="20"/>
    </w:rPr>
  </w:style>
  <w:style w:type="character" w:styleId="EndnoteReference">
    <w:name w:val="endnote reference"/>
    <w:basedOn w:val="DefaultParagraphFont"/>
    <w:semiHidden/>
    <w:rsid w:val="00097EC6"/>
    <w:rPr>
      <w:vertAlign w:val="superscript"/>
    </w:rPr>
  </w:style>
  <w:style w:type="paragraph" w:styleId="ListParagraph">
    <w:name w:val="List Paragraph"/>
    <w:basedOn w:val="Normal"/>
    <w:uiPriority w:val="34"/>
    <w:qFormat/>
    <w:rsid w:val="005A7E5E"/>
    <w:pPr>
      <w:ind w:left="720"/>
    </w:pPr>
    <w:rPr>
      <w:rFonts w:eastAsia="Calibri"/>
      <w:sz w:val="24"/>
      <w:lang w:eastAsia="en-GB"/>
    </w:rPr>
  </w:style>
  <w:style w:type="paragraph" w:styleId="FootnoteText">
    <w:name w:val="footnote text"/>
    <w:basedOn w:val="Normal"/>
    <w:link w:val="FootnoteTextChar"/>
    <w:rsid w:val="002F5BD1"/>
    <w:rPr>
      <w:sz w:val="20"/>
      <w:szCs w:val="20"/>
    </w:rPr>
  </w:style>
  <w:style w:type="character" w:customStyle="1" w:styleId="FootnoteTextChar">
    <w:name w:val="Footnote Text Char"/>
    <w:basedOn w:val="DefaultParagraphFont"/>
    <w:link w:val="FootnoteText"/>
    <w:rsid w:val="002F5BD1"/>
    <w:rPr>
      <w:lang w:eastAsia="fr-FR"/>
    </w:rPr>
  </w:style>
  <w:style w:type="character" w:styleId="FootnoteReference">
    <w:name w:val="footnote reference"/>
    <w:basedOn w:val="DefaultParagraphFont"/>
    <w:rsid w:val="002F5BD1"/>
    <w:rPr>
      <w:vertAlign w:val="superscript"/>
    </w:rPr>
  </w:style>
  <w:style w:type="character" w:styleId="CommentReference">
    <w:name w:val="annotation reference"/>
    <w:basedOn w:val="DefaultParagraphFont"/>
    <w:rsid w:val="001E4630"/>
    <w:rPr>
      <w:sz w:val="16"/>
      <w:szCs w:val="16"/>
    </w:rPr>
  </w:style>
  <w:style w:type="paragraph" w:styleId="CommentText">
    <w:name w:val="annotation text"/>
    <w:basedOn w:val="Normal"/>
    <w:link w:val="CommentTextChar"/>
    <w:rsid w:val="001E4630"/>
    <w:rPr>
      <w:sz w:val="20"/>
      <w:szCs w:val="20"/>
    </w:rPr>
  </w:style>
  <w:style w:type="character" w:customStyle="1" w:styleId="CommentTextChar">
    <w:name w:val="Comment Text Char"/>
    <w:basedOn w:val="DefaultParagraphFont"/>
    <w:link w:val="CommentText"/>
    <w:rsid w:val="001E4630"/>
    <w:rPr>
      <w:lang w:eastAsia="fr-FR"/>
    </w:rPr>
  </w:style>
  <w:style w:type="paragraph" w:styleId="CommentSubject">
    <w:name w:val="annotation subject"/>
    <w:basedOn w:val="CommentText"/>
    <w:next w:val="CommentText"/>
    <w:link w:val="CommentSubjectChar"/>
    <w:rsid w:val="001E4630"/>
    <w:rPr>
      <w:b/>
      <w:bCs/>
    </w:rPr>
  </w:style>
  <w:style w:type="character" w:customStyle="1" w:styleId="CommentSubjectChar">
    <w:name w:val="Comment Subject Char"/>
    <w:basedOn w:val="CommentTextChar"/>
    <w:link w:val="CommentSubject"/>
    <w:rsid w:val="001E4630"/>
    <w:rPr>
      <w:b/>
      <w:bCs/>
      <w:lang w:eastAsia="fr-FR"/>
    </w:rPr>
  </w:style>
  <w:style w:type="character" w:styleId="FollowedHyperlink">
    <w:name w:val="FollowedHyperlink"/>
    <w:basedOn w:val="DefaultParagraphFont"/>
    <w:rsid w:val="001E4630"/>
    <w:rPr>
      <w:color w:val="800080" w:themeColor="followedHyperlink"/>
      <w:u w:val="single"/>
    </w:rPr>
  </w:style>
  <w:style w:type="character" w:customStyle="1" w:styleId="FooterChar">
    <w:name w:val="Footer Char"/>
    <w:basedOn w:val="DefaultParagraphFont"/>
    <w:link w:val="Footer"/>
    <w:uiPriority w:val="99"/>
    <w:rsid w:val="005022B1"/>
    <w:rPr>
      <w:sz w:val="22"/>
      <w:szCs w:val="24"/>
      <w:lang w:eastAsia="fr-FR"/>
    </w:rPr>
  </w:style>
  <w:style w:type="paragraph" w:customStyle="1" w:styleId="Default">
    <w:name w:val="Default"/>
    <w:rsid w:val="002A02B4"/>
    <w:pPr>
      <w:autoSpaceDE w:val="0"/>
      <w:autoSpaceDN w:val="0"/>
      <w:adjustRightInd w:val="0"/>
    </w:pPr>
    <w:rPr>
      <w:rFonts w:ascii="Frutiger LT Std 45 Light" w:hAnsi="Frutiger LT Std 45 Light" w:cs="Frutiger LT Std 45 Light"/>
      <w:color w:val="000000"/>
      <w:sz w:val="24"/>
      <w:szCs w:val="24"/>
      <w:lang w:val="en-US" w:eastAsia="en-US"/>
    </w:rPr>
  </w:style>
  <w:style w:type="paragraph" w:customStyle="1" w:styleId="Pa0">
    <w:name w:val="Pa0"/>
    <w:basedOn w:val="Default"/>
    <w:next w:val="Default"/>
    <w:rsid w:val="002A02B4"/>
    <w:pPr>
      <w:spacing w:line="241" w:lineRule="atLeast"/>
    </w:pPr>
    <w:rPr>
      <w:rFonts w:cs="Times New Roman"/>
      <w:color w:val="auto"/>
    </w:rPr>
  </w:style>
  <w:style w:type="character" w:customStyle="1" w:styleId="A3">
    <w:name w:val="A3"/>
    <w:rsid w:val="002A02B4"/>
    <w:rPr>
      <w:rFonts w:cs="Frutiger LT Std 45 Light"/>
      <w:color w:val="000000"/>
      <w:sz w:val="18"/>
      <w:szCs w:val="18"/>
    </w:rPr>
  </w:style>
  <w:style w:type="character" w:customStyle="1" w:styleId="subparatext">
    <w:name w:val="subparatext"/>
    <w:basedOn w:val="DefaultParagraphFont"/>
    <w:rsid w:val="00A3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9749">
      <w:bodyDiv w:val="1"/>
      <w:marLeft w:val="0"/>
      <w:marRight w:val="0"/>
      <w:marTop w:val="0"/>
      <w:marBottom w:val="0"/>
      <w:divBdr>
        <w:top w:val="none" w:sz="0" w:space="0" w:color="auto"/>
        <w:left w:val="none" w:sz="0" w:space="0" w:color="auto"/>
        <w:bottom w:val="none" w:sz="0" w:space="0" w:color="auto"/>
        <w:right w:val="none" w:sz="0" w:space="0" w:color="auto"/>
      </w:divBdr>
    </w:div>
    <w:div w:id="227421173">
      <w:bodyDiv w:val="1"/>
      <w:marLeft w:val="0"/>
      <w:marRight w:val="0"/>
      <w:marTop w:val="0"/>
      <w:marBottom w:val="0"/>
      <w:divBdr>
        <w:top w:val="none" w:sz="0" w:space="0" w:color="auto"/>
        <w:left w:val="none" w:sz="0" w:space="0" w:color="auto"/>
        <w:bottom w:val="none" w:sz="0" w:space="0" w:color="auto"/>
        <w:right w:val="none" w:sz="0" w:space="0" w:color="auto"/>
      </w:divBdr>
    </w:div>
    <w:div w:id="263080543">
      <w:bodyDiv w:val="1"/>
      <w:marLeft w:val="0"/>
      <w:marRight w:val="0"/>
      <w:marTop w:val="0"/>
      <w:marBottom w:val="0"/>
      <w:divBdr>
        <w:top w:val="none" w:sz="0" w:space="0" w:color="auto"/>
        <w:left w:val="none" w:sz="0" w:space="0" w:color="auto"/>
        <w:bottom w:val="none" w:sz="0" w:space="0" w:color="auto"/>
        <w:right w:val="none" w:sz="0" w:space="0" w:color="auto"/>
      </w:divBdr>
    </w:div>
    <w:div w:id="303628799">
      <w:bodyDiv w:val="1"/>
      <w:marLeft w:val="0"/>
      <w:marRight w:val="0"/>
      <w:marTop w:val="0"/>
      <w:marBottom w:val="0"/>
      <w:divBdr>
        <w:top w:val="none" w:sz="0" w:space="0" w:color="auto"/>
        <w:left w:val="none" w:sz="0" w:space="0" w:color="auto"/>
        <w:bottom w:val="none" w:sz="0" w:space="0" w:color="auto"/>
        <w:right w:val="none" w:sz="0" w:space="0" w:color="auto"/>
      </w:divBdr>
    </w:div>
    <w:div w:id="339234796">
      <w:bodyDiv w:val="1"/>
      <w:marLeft w:val="0"/>
      <w:marRight w:val="0"/>
      <w:marTop w:val="0"/>
      <w:marBottom w:val="0"/>
      <w:divBdr>
        <w:top w:val="none" w:sz="0" w:space="0" w:color="auto"/>
        <w:left w:val="none" w:sz="0" w:space="0" w:color="auto"/>
        <w:bottom w:val="none" w:sz="0" w:space="0" w:color="auto"/>
        <w:right w:val="none" w:sz="0" w:space="0" w:color="auto"/>
      </w:divBdr>
    </w:div>
    <w:div w:id="440303484">
      <w:bodyDiv w:val="1"/>
      <w:marLeft w:val="0"/>
      <w:marRight w:val="0"/>
      <w:marTop w:val="0"/>
      <w:marBottom w:val="0"/>
      <w:divBdr>
        <w:top w:val="none" w:sz="0" w:space="0" w:color="auto"/>
        <w:left w:val="none" w:sz="0" w:space="0" w:color="auto"/>
        <w:bottom w:val="none" w:sz="0" w:space="0" w:color="auto"/>
        <w:right w:val="none" w:sz="0" w:space="0" w:color="auto"/>
      </w:divBdr>
    </w:div>
    <w:div w:id="494927973">
      <w:bodyDiv w:val="1"/>
      <w:marLeft w:val="0"/>
      <w:marRight w:val="0"/>
      <w:marTop w:val="0"/>
      <w:marBottom w:val="0"/>
      <w:divBdr>
        <w:top w:val="none" w:sz="0" w:space="0" w:color="auto"/>
        <w:left w:val="none" w:sz="0" w:space="0" w:color="auto"/>
        <w:bottom w:val="none" w:sz="0" w:space="0" w:color="auto"/>
        <w:right w:val="none" w:sz="0" w:space="0" w:color="auto"/>
      </w:divBdr>
    </w:div>
    <w:div w:id="611977122">
      <w:bodyDiv w:val="1"/>
      <w:marLeft w:val="0"/>
      <w:marRight w:val="0"/>
      <w:marTop w:val="0"/>
      <w:marBottom w:val="0"/>
      <w:divBdr>
        <w:top w:val="none" w:sz="0" w:space="0" w:color="auto"/>
        <w:left w:val="none" w:sz="0" w:space="0" w:color="auto"/>
        <w:bottom w:val="none" w:sz="0" w:space="0" w:color="auto"/>
        <w:right w:val="none" w:sz="0" w:space="0" w:color="auto"/>
      </w:divBdr>
    </w:div>
    <w:div w:id="707415035">
      <w:bodyDiv w:val="1"/>
      <w:marLeft w:val="0"/>
      <w:marRight w:val="0"/>
      <w:marTop w:val="0"/>
      <w:marBottom w:val="0"/>
      <w:divBdr>
        <w:top w:val="none" w:sz="0" w:space="0" w:color="auto"/>
        <w:left w:val="none" w:sz="0" w:space="0" w:color="auto"/>
        <w:bottom w:val="none" w:sz="0" w:space="0" w:color="auto"/>
        <w:right w:val="none" w:sz="0" w:space="0" w:color="auto"/>
      </w:divBdr>
    </w:div>
    <w:div w:id="745422614">
      <w:bodyDiv w:val="1"/>
      <w:marLeft w:val="0"/>
      <w:marRight w:val="0"/>
      <w:marTop w:val="0"/>
      <w:marBottom w:val="0"/>
      <w:divBdr>
        <w:top w:val="none" w:sz="0" w:space="0" w:color="auto"/>
        <w:left w:val="none" w:sz="0" w:space="0" w:color="auto"/>
        <w:bottom w:val="none" w:sz="0" w:space="0" w:color="auto"/>
        <w:right w:val="none" w:sz="0" w:space="0" w:color="auto"/>
      </w:divBdr>
    </w:div>
    <w:div w:id="787046372">
      <w:bodyDiv w:val="1"/>
      <w:marLeft w:val="0"/>
      <w:marRight w:val="0"/>
      <w:marTop w:val="0"/>
      <w:marBottom w:val="0"/>
      <w:divBdr>
        <w:top w:val="none" w:sz="0" w:space="0" w:color="auto"/>
        <w:left w:val="none" w:sz="0" w:space="0" w:color="auto"/>
        <w:bottom w:val="none" w:sz="0" w:space="0" w:color="auto"/>
        <w:right w:val="none" w:sz="0" w:space="0" w:color="auto"/>
      </w:divBdr>
    </w:div>
    <w:div w:id="1055930684">
      <w:bodyDiv w:val="1"/>
      <w:marLeft w:val="0"/>
      <w:marRight w:val="0"/>
      <w:marTop w:val="0"/>
      <w:marBottom w:val="0"/>
      <w:divBdr>
        <w:top w:val="none" w:sz="0" w:space="0" w:color="auto"/>
        <w:left w:val="none" w:sz="0" w:space="0" w:color="auto"/>
        <w:bottom w:val="none" w:sz="0" w:space="0" w:color="auto"/>
        <w:right w:val="none" w:sz="0" w:space="0" w:color="auto"/>
      </w:divBdr>
    </w:div>
    <w:div w:id="1309673327">
      <w:bodyDiv w:val="1"/>
      <w:marLeft w:val="0"/>
      <w:marRight w:val="0"/>
      <w:marTop w:val="0"/>
      <w:marBottom w:val="0"/>
      <w:divBdr>
        <w:top w:val="none" w:sz="0" w:space="0" w:color="auto"/>
        <w:left w:val="none" w:sz="0" w:space="0" w:color="auto"/>
        <w:bottom w:val="none" w:sz="0" w:space="0" w:color="auto"/>
        <w:right w:val="none" w:sz="0" w:space="0" w:color="auto"/>
      </w:divBdr>
    </w:div>
    <w:div w:id="1335840610">
      <w:bodyDiv w:val="1"/>
      <w:marLeft w:val="0"/>
      <w:marRight w:val="0"/>
      <w:marTop w:val="0"/>
      <w:marBottom w:val="0"/>
      <w:divBdr>
        <w:top w:val="none" w:sz="0" w:space="0" w:color="auto"/>
        <w:left w:val="none" w:sz="0" w:space="0" w:color="auto"/>
        <w:bottom w:val="none" w:sz="0" w:space="0" w:color="auto"/>
        <w:right w:val="none" w:sz="0" w:space="0" w:color="auto"/>
      </w:divBdr>
    </w:div>
    <w:div w:id="1341395379">
      <w:bodyDiv w:val="1"/>
      <w:marLeft w:val="0"/>
      <w:marRight w:val="0"/>
      <w:marTop w:val="0"/>
      <w:marBottom w:val="0"/>
      <w:divBdr>
        <w:top w:val="none" w:sz="0" w:space="0" w:color="auto"/>
        <w:left w:val="none" w:sz="0" w:space="0" w:color="auto"/>
        <w:bottom w:val="none" w:sz="0" w:space="0" w:color="auto"/>
        <w:right w:val="none" w:sz="0" w:space="0" w:color="auto"/>
      </w:divBdr>
    </w:div>
    <w:div w:id="1342120087">
      <w:bodyDiv w:val="1"/>
      <w:marLeft w:val="0"/>
      <w:marRight w:val="0"/>
      <w:marTop w:val="0"/>
      <w:marBottom w:val="0"/>
      <w:divBdr>
        <w:top w:val="none" w:sz="0" w:space="0" w:color="auto"/>
        <w:left w:val="none" w:sz="0" w:space="0" w:color="auto"/>
        <w:bottom w:val="none" w:sz="0" w:space="0" w:color="auto"/>
        <w:right w:val="none" w:sz="0" w:space="0" w:color="auto"/>
      </w:divBdr>
    </w:div>
    <w:div w:id="1417633251">
      <w:bodyDiv w:val="1"/>
      <w:marLeft w:val="0"/>
      <w:marRight w:val="0"/>
      <w:marTop w:val="0"/>
      <w:marBottom w:val="0"/>
      <w:divBdr>
        <w:top w:val="none" w:sz="0" w:space="0" w:color="auto"/>
        <w:left w:val="none" w:sz="0" w:space="0" w:color="auto"/>
        <w:bottom w:val="none" w:sz="0" w:space="0" w:color="auto"/>
        <w:right w:val="none" w:sz="0" w:space="0" w:color="auto"/>
      </w:divBdr>
      <w:divsChild>
        <w:div w:id="103695853">
          <w:marLeft w:val="0"/>
          <w:marRight w:val="0"/>
          <w:marTop w:val="0"/>
          <w:marBottom w:val="0"/>
          <w:divBdr>
            <w:top w:val="none" w:sz="0" w:space="0" w:color="auto"/>
            <w:left w:val="none" w:sz="0" w:space="0" w:color="auto"/>
            <w:bottom w:val="none" w:sz="0" w:space="0" w:color="auto"/>
            <w:right w:val="none" w:sz="0" w:space="0" w:color="auto"/>
          </w:divBdr>
          <w:divsChild>
            <w:div w:id="569191387">
              <w:marLeft w:val="0"/>
              <w:marRight w:val="0"/>
              <w:marTop w:val="0"/>
              <w:marBottom w:val="0"/>
              <w:divBdr>
                <w:top w:val="none" w:sz="0" w:space="0" w:color="auto"/>
                <w:left w:val="none" w:sz="0" w:space="0" w:color="auto"/>
                <w:bottom w:val="none" w:sz="0" w:space="0" w:color="auto"/>
                <w:right w:val="none" w:sz="0" w:space="0" w:color="auto"/>
              </w:divBdr>
              <w:divsChild>
                <w:div w:id="1473326207">
                  <w:marLeft w:val="0"/>
                  <w:marRight w:val="0"/>
                  <w:marTop w:val="0"/>
                  <w:marBottom w:val="0"/>
                  <w:divBdr>
                    <w:top w:val="none" w:sz="0" w:space="0" w:color="auto"/>
                    <w:left w:val="none" w:sz="0" w:space="0" w:color="auto"/>
                    <w:bottom w:val="none" w:sz="0" w:space="0" w:color="auto"/>
                    <w:right w:val="none" w:sz="0" w:space="0" w:color="auto"/>
                  </w:divBdr>
                  <w:divsChild>
                    <w:div w:id="15394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741">
          <w:marLeft w:val="0"/>
          <w:marRight w:val="0"/>
          <w:marTop w:val="0"/>
          <w:marBottom w:val="0"/>
          <w:divBdr>
            <w:top w:val="none" w:sz="0" w:space="0" w:color="auto"/>
            <w:left w:val="none" w:sz="0" w:space="0" w:color="auto"/>
            <w:bottom w:val="none" w:sz="0" w:space="0" w:color="auto"/>
            <w:right w:val="none" w:sz="0" w:space="0" w:color="auto"/>
          </w:divBdr>
          <w:divsChild>
            <w:div w:id="897013032">
              <w:marLeft w:val="0"/>
              <w:marRight w:val="0"/>
              <w:marTop w:val="0"/>
              <w:marBottom w:val="0"/>
              <w:divBdr>
                <w:top w:val="none" w:sz="0" w:space="0" w:color="auto"/>
                <w:left w:val="none" w:sz="0" w:space="0" w:color="auto"/>
                <w:bottom w:val="none" w:sz="0" w:space="0" w:color="auto"/>
                <w:right w:val="none" w:sz="0" w:space="0" w:color="auto"/>
              </w:divBdr>
              <w:divsChild>
                <w:div w:id="9906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58656">
          <w:marLeft w:val="0"/>
          <w:marRight w:val="0"/>
          <w:marTop w:val="0"/>
          <w:marBottom w:val="0"/>
          <w:divBdr>
            <w:top w:val="none" w:sz="0" w:space="0" w:color="auto"/>
            <w:left w:val="none" w:sz="0" w:space="0" w:color="auto"/>
            <w:bottom w:val="none" w:sz="0" w:space="0" w:color="auto"/>
            <w:right w:val="none" w:sz="0" w:space="0" w:color="auto"/>
          </w:divBdr>
          <w:divsChild>
            <w:div w:id="443692751">
              <w:marLeft w:val="0"/>
              <w:marRight w:val="0"/>
              <w:marTop w:val="0"/>
              <w:marBottom w:val="0"/>
              <w:divBdr>
                <w:top w:val="none" w:sz="0" w:space="0" w:color="auto"/>
                <w:left w:val="none" w:sz="0" w:space="0" w:color="auto"/>
                <w:bottom w:val="none" w:sz="0" w:space="0" w:color="auto"/>
                <w:right w:val="none" w:sz="0" w:space="0" w:color="auto"/>
              </w:divBdr>
              <w:divsChild>
                <w:div w:id="159782577">
                  <w:marLeft w:val="0"/>
                  <w:marRight w:val="0"/>
                  <w:marTop w:val="0"/>
                  <w:marBottom w:val="0"/>
                  <w:divBdr>
                    <w:top w:val="none" w:sz="0" w:space="0" w:color="auto"/>
                    <w:left w:val="none" w:sz="0" w:space="0" w:color="auto"/>
                    <w:bottom w:val="none" w:sz="0" w:space="0" w:color="auto"/>
                    <w:right w:val="none" w:sz="0" w:space="0" w:color="auto"/>
                  </w:divBdr>
                  <w:divsChild>
                    <w:div w:id="1675953353">
                      <w:marLeft w:val="0"/>
                      <w:marRight w:val="0"/>
                      <w:marTop w:val="0"/>
                      <w:marBottom w:val="0"/>
                      <w:divBdr>
                        <w:top w:val="none" w:sz="0" w:space="0" w:color="auto"/>
                        <w:left w:val="none" w:sz="0" w:space="0" w:color="auto"/>
                        <w:bottom w:val="none" w:sz="0" w:space="0" w:color="auto"/>
                        <w:right w:val="none" w:sz="0" w:space="0" w:color="auto"/>
                      </w:divBdr>
                      <w:divsChild>
                        <w:div w:id="582837184">
                          <w:marLeft w:val="0"/>
                          <w:marRight w:val="0"/>
                          <w:marTop w:val="0"/>
                          <w:marBottom w:val="0"/>
                          <w:divBdr>
                            <w:top w:val="none" w:sz="0" w:space="0" w:color="auto"/>
                            <w:left w:val="none" w:sz="0" w:space="0" w:color="auto"/>
                            <w:bottom w:val="none" w:sz="0" w:space="0" w:color="auto"/>
                            <w:right w:val="none" w:sz="0" w:space="0" w:color="auto"/>
                          </w:divBdr>
                          <w:divsChild>
                            <w:div w:id="1746143150">
                              <w:marLeft w:val="0"/>
                              <w:marRight w:val="0"/>
                              <w:marTop w:val="0"/>
                              <w:marBottom w:val="0"/>
                              <w:divBdr>
                                <w:top w:val="none" w:sz="0" w:space="0" w:color="auto"/>
                                <w:left w:val="none" w:sz="0" w:space="0" w:color="auto"/>
                                <w:bottom w:val="none" w:sz="0" w:space="0" w:color="auto"/>
                                <w:right w:val="none" w:sz="0" w:space="0" w:color="auto"/>
                              </w:divBdr>
                              <w:divsChild>
                                <w:div w:id="1188447323">
                                  <w:marLeft w:val="0"/>
                                  <w:marRight w:val="0"/>
                                  <w:marTop w:val="0"/>
                                  <w:marBottom w:val="0"/>
                                  <w:divBdr>
                                    <w:top w:val="none" w:sz="0" w:space="0" w:color="auto"/>
                                    <w:left w:val="none" w:sz="0" w:space="0" w:color="auto"/>
                                    <w:bottom w:val="none" w:sz="0" w:space="0" w:color="auto"/>
                                    <w:right w:val="none" w:sz="0" w:space="0" w:color="auto"/>
                                  </w:divBdr>
                                  <w:divsChild>
                                    <w:div w:id="1324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124958">
      <w:bodyDiv w:val="1"/>
      <w:marLeft w:val="0"/>
      <w:marRight w:val="0"/>
      <w:marTop w:val="0"/>
      <w:marBottom w:val="0"/>
      <w:divBdr>
        <w:top w:val="none" w:sz="0" w:space="0" w:color="auto"/>
        <w:left w:val="none" w:sz="0" w:space="0" w:color="auto"/>
        <w:bottom w:val="none" w:sz="0" w:space="0" w:color="auto"/>
        <w:right w:val="none" w:sz="0" w:space="0" w:color="auto"/>
      </w:divBdr>
    </w:div>
    <w:div w:id="1513179139">
      <w:bodyDiv w:val="1"/>
      <w:marLeft w:val="0"/>
      <w:marRight w:val="0"/>
      <w:marTop w:val="0"/>
      <w:marBottom w:val="0"/>
      <w:divBdr>
        <w:top w:val="none" w:sz="0" w:space="0" w:color="auto"/>
        <w:left w:val="none" w:sz="0" w:space="0" w:color="auto"/>
        <w:bottom w:val="none" w:sz="0" w:space="0" w:color="auto"/>
        <w:right w:val="none" w:sz="0" w:space="0" w:color="auto"/>
      </w:divBdr>
      <w:divsChild>
        <w:div w:id="298266519">
          <w:marLeft w:val="0"/>
          <w:marRight w:val="0"/>
          <w:marTop w:val="0"/>
          <w:marBottom w:val="0"/>
          <w:divBdr>
            <w:top w:val="none" w:sz="0" w:space="0" w:color="auto"/>
            <w:left w:val="none" w:sz="0" w:space="0" w:color="auto"/>
            <w:bottom w:val="none" w:sz="0" w:space="0" w:color="auto"/>
            <w:right w:val="none" w:sz="0" w:space="0" w:color="auto"/>
          </w:divBdr>
          <w:divsChild>
            <w:div w:id="561411357">
              <w:marLeft w:val="0"/>
              <w:marRight w:val="0"/>
              <w:marTop w:val="0"/>
              <w:marBottom w:val="0"/>
              <w:divBdr>
                <w:top w:val="none" w:sz="0" w:space="0" w:color="auto"/>
                <w:left w:val="none" w:sz="0" w:space="0" w:color="auto"/>
                <w:bottom w:val="none" w:sz="0" w:space="0" w:color="auto"/>
                <w:right w:val="none" w:sz="0" w:space="0" w:color="auto"/>
              </w:divBdr>
              <w:divsChild>
                <w:div w:id="1965383844">
                  <w:marLeft w:val="0"/>
                  <w:marRight w:val="0"/>
                  <w:marTop w:val="0"/>
                  <w:marBottom w:val="0"/>
                  <w:divBdr>
                    <w:top w:val="none" w:sz="0" w:space="0" w:color="auto"/>
                    <w:left w:val="none" w:sz="0" w:space="0" w:color="auto"/>
                    <w:bottom w:val="none" w:sz="0" w:space="0" w:color="auto"/>
                    <w:right w:val="none" w:sz="0" w:space="0" w:color="auto"/>
                  </w:divBdr>
                  <w:divsChild>
                    <w:div w:id="18370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7526">
      <w:bodyDiv w:val="1"/>
      <w:marLeft w:val="0"/>
      <w:marRight w:val="0"/>
      <w:marTop w:val="0"/>
      <w:marBottom w:val="0"/>
      <w:divBdr>
        <w:top w:val="none" w:sz="0" w:space="0" w:color="auto"/>
        <w:left w:val="none" w:sz="0" w:space="0" w:color="auto"/>
        <w:bottom w:val="none" w:sz="0" w:space="0" w:color="auto"/>
        <w:right w:val="none" w:sz="0" w:space="0" w:color="auto"/>
      </w:divBdr>
      <w:divsChild>
        <w:div w:id="2147309356">
          <w:marLeft w:val="0"/>
          <w:marRight w:val="0"/>
          <w:marTop w:val="0"/>
          <w:marBottom w:val="0"/>
          <w:divBdr>
            <w:top w:val="none" w:sz="0" w:space="0" w:color="auto"/>
            <w:left w:val="none" w:sz="0" w:space="0" w:color="auto"/>
            <w:bottom w:val="none" w:sz="0" w:space="0" w:color="auto"/>
            <w:right w:val="none" w:sz="0" w:space="0" w:color="auto"/>
          </w:divBdr>
        </w:div>
        <w:div w:id="1216241079">
          <w:marLeft w:val="0"/>
          <w:marRight w:val="0"/>
          <w:marTop w:val="0"/>
          <w:marBottom w:val="0"/>
          <w:divBdr>
            <w:top w:val="none" w:sz="0" w:space="0" w:color="auto"/>
            <w:left w:val="none" w:sz="0" w:space="0" w:color="auto"/>
            <w:bottom w:val="none" w:sz="0" w:space="0" w:color="auto"/>
            <w:right w:val="none" w:sz="0" w:space="0" w:color="auto"/>
          </w:divBdr>
        </w:div>
        <w:div w:id="1184201592">
          <w:marLeft w:val="0"/>
          <w:marRight w:val="0"/>
          <w:marTop w:val="0"/>
          <w:marBottom w:val="0"/>
          <w:divBdr>
            <w:top w:val="none" w:sz="0" w:space="0" w:color="auto"/>
            <w:left w:val="none" w:sz="0" w:space="0" w:color="auto"/>
            <w:bottom w:val="none" w:sz="0" w:space="0" w:color="auto"/>
            <w:right w:val="none" w:sz="0" w:space="0" w:color="auto"/>
          </w:divBdr>
        </w:div>
        <w:div w:id="1561090393">
          <w:marLeft w:val="0"/>
          <w:marRight w:val="0"/>
          <w:marTop w:val="0"/>
          <w:marBottom w:val="0"/>
          <w:divBdr>
            <w:top w:val="none" w:sz="0" w:space="0" w:color="auto"/>
            <w:left w:val="none" w:sz="0" w:space="0" w:color="auto"/>
            <w:bottom w:val="none" w:sz="0" w:space="0" w:color="auto"/>
            <w:right w:val="none" w:sz="0" w:space="0" w:color="auto"/>
          </w:divBdr>
        </w:div>
        <w:div w:id="139535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nternal_market/bank/regcapital/legislation-in-force/index_en.htm" TargetMode="External"/><Relationship Id="rId2" Type="http://schemas.openxmlformats.org/officeDocument/2006/relationships/hyperlink" Target="http://eur-lex.europa.eu/legal-content/EN/TXT/?uri=CELEX:32014L0049" TargetMode="External"/><Relationship Id="rId1" Type="http://schemas.openxmlformats.org/officeDocument/2006/relationships/hyperlink" Target="https://www.eba.europa.eu/news-press/calendar?p_p_auth=Dfa70b8h&amp;p_p_id=8&amp;p_p_lifecycle=0&amp;p_p_state=normal&amp;p_p_mode=view&amp;_8_struts_action=%2Fcalendar%2Fview_event&amp;_8_eventId=887889" TargetMode="External"/><Relationship Id="rId6" Type="http://schemas.openxmlformats.org/officeDocument/2006/relationships/hyperlink" Target="http://www.legislation.gov.uk/uksi/2011/2687/made" TargetMode="External"/><Relationship Id="rId5" Type="http://schemas.openxmlformats.org/officeDocument/2006/relationships/hyperlink" Target="http://fshandbook.info/FS/html/handbook/CREDS/5/2" TargetMode="External"/><Relationship Id="rId4" Type="http://schemas.openxmlformats.org/officeDocument/2006/relationships/hyperlink" Target="http://www.creditunionnetwork.eu/cus_in_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56EB-65B3-422D-ADBF-A1177BB0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World Council of Credit Unions</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medwards</dc:creator>
  <cp:lastModifiedBy>medwards</cp:lastModifiedBy>
  <cp:revision>265</cp:revision>
  <cp:lastPrinted>2015-02-11T22:02:00Z</cp:lastPrinted>
  <dcterms:created xsi:type="dcterms:W3CDTF">2015-02-10T18:53:00Z</dcterms:created>
  <dcterms:modified xsi:type="dcterms:W3CDTF">2015-02-11T22:13:00Z</dcterms:modified>
</cp:coreProperties>
</file>