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E33" w:rsidRDefault="00BD5E33"/>
    <w:p w:rsidR="00BD5E33" w:rsidRDefault="00BD5E33"/>
    <w:p w:rsidR="00FE4D6B" w:rsidRDefault="00FE4D6B"/>
    <w:p w:rsidR="00FE4D6B" w:rsidRDefault="00FE4D6B"/>
    <w:p w:rsidR="00BD5E33" w:rsidRPr="009D0E7C" w:rsidRDefault="00E346E6" w:rsidP="00FC4EAB">
      <w:pPr>
        <w:pStyle w:val="CMLheadingcentre"/>
        <w:sectPr w:rsidR="00BD5E33" w:rsidRPr="009D0E7C" w:rsidSect="006E1A59">
          <w:headerReference w:type="default" r:id="rId8"/>
          <w:footerReference w:type="default" r:id="rId9"/>
          <w:headerReference w:type="first" r:id="rId10"/>
          <w:footerReference w:type="first" r:id="rId11"/>
          <w:pgSz w:w="11906" w:h="16838" w:code="9"/>
          <w:pgMar w:top="289" w:right="1440" w:bottom="720" w:left="1440" w:header="720" w:footer="720" w:gutter="0"/>
          <w:cols w:space="708"/>
          <w:titlePg/>
          <w:docGrid w:linePitch="360"/>
        </w:sectPr>
      </w:pPr>
      <w:fldSimple w:instr=" FILLIN &quot;Title of Consultation Paper&quot; \* MERGEFORMAT ">
        <w:r w:rsidR="002D5659">
          <w:t>EBA/CP/2014/42 Draft guidelines on creditworthiness assessment</w:t>
        </w:r>
      </w:fldSimple>
    </w:p>
    <w:p w:rsidR="00BD5E33" w:rsidRDefault="00BD5E33">
      <w:pPr>
        <w:pStyle w:val="CMLnormal"/>
      </w:pPr>
    </w:p>
    <w:bookmarkStart w:id="0" w:name="Dropdown2"/>
    <w:p w:rsidR="00BD5E33" w:rsidRDefault="00CB2A84">
      <w:pPr>
        <w:pStyle w:val="CMLheadingcentre"/>
        <w:sectPr w:rsidR="00BD5E33">
          <w:type w:val="continuous"/>
          <w:pgSz w:w="11906" w:h="16838"/>
          <w:pgMar w:top="1440" w:right="1440" w:bottom="720" w:left="1440" w:header="706" w:footer="706" w:gutter="0"/>
          <w:cols w:space="708"/>
          <w:docGrid w:linePitch="360"/>
        </w:sectPr>
      </w:pPr>
      <w:r>
        <w:fldChar w:fldCharType="begin">
          <w:ffData>
            <w:name w:val="Dropdown2"/>
            <w:enabled/>
            <w:calcOnExit w:val="0"/>
            <w:entryMacro w:val="AutoDropDown"/>
            <w:ddList>
              <w:listEntry w:val="Response"/>
              <w:listEntry w:val="Submission"/>
              <w:listEntry w:val="Briefing"/>
            </w:ddList>
          </w:ffData>
        </w:fldChar>
      </w:r>
      <w:r>
        <w:instrText xml:space="preserve"> FORMDROPDOWN </w:instrText>
      </w:r>
      <w:r w:rsidR="007F3B60">
        <w:fldChar w:fldCharType="separate"/>
      </w:r>
      <w:r>
        <w:fldChar w:fldCharType="end"/>
      </w:r>
      <w:bookmarkEnd w:id="0"/>
      <w:r w:rsidR="00BD5E33">
        <w:t xml:space="preserve">  </w:t>
      </w:r>
      <w:r w:rsidR="00BD5E33" w:rsidRPr="00954F2A">
        <w:rPr>
          <w:bCs/>
        </w:rPr>
        <w:t>by</w:t>
      </w:r>
      <w:r w:rsidR="00BD5E33">
        <w:t xml:space="preserve">  </w:t>
      </w:r>
      <w:bookmarkStart w:id="1" w:name="Dropdown1"/>
      <w:r w:rsidR="005D549E">
        <w:fldChar w:fldCharType="begin">
          <w:ffData>
            <w:name w:val="Dropdown1"/>
            <w:enabled/>
            <w:calcOnExit w:val="0"/>
            <w:ddList>
              <w:listEntry w:val="the Council of Mortgage Lenders"/>
              <w:listEntry w:val="CML Cymru"/>
              <w:listEntry w:val="CML Northern Ireland"/>
              <w:listEntry w:val="CML Scotland"/>
            </w:ddList>
          </w:ffData>
        </w:fldChar>
      </w:r>
      <w:r w:rsidR="005D549E">
        <w:instrText xml:space="preserve"> FORMDROPDOWN </w:instrText>
      </w:r>
      <w:r w:rsidR="007F3B60">
        <w:fldChar w:fldCharType="separate"/>
      </w:r>
      <w:r w:rsidR="005D549E">
        <w:fldChar w:fldCharType="end"/>
      </w:r>
      <w:bookmarkEnd w:id="1"/>
    </w:p>
    <w:p w:rsidR="00BD5E33" w:rsidRDefault="00BD5E33" w:rsidP="00A361C6">
      <w:pPr>
        <w:pStyle w:val="CMLheadingcentre"/>
      </w:pPr>
      <w:r>
        <w:lastRenderedPageBreak/>
        <w:t xml:space="preserve">to the </w:t>
      </w:r>
      <w:r w:rsidR="007F3B60">
        <w:fldChar w:fldCharType="begin"/>
      </w:r>
      <w:r w:rsidR="007F3B60">
        <w:instrText xml:space="preserve"> FILLIN "Enter what the response is to,  eg, 'Housing Corporation Consultation Paper'" \* MERGEFORMAT </w:instrText>
      </w:r>
      <w:r w:rsidR="007F3B60">
        <w:fldChar w:fldCharType="separate"/>
      </w:r>
      <w:r w:rsidR="002D5659">
        <w:t>European Banking Authority consultation paper</w:t>
      </w:r>
      <w:r w:rsidR="007F3B60">
        <w:fldChar w:fldCharType="end"/>
      </w:r>
    </w:p>
    <w:p w:rsidR="00FE4D6B" w:rsidRDefault="00FE4D6B" w:rsidP="00A361C6">
      <w:pPr>
        <w:pStyle w:val="CMLbold"/>
      </w:pPr>
    </w:p>
    <w:p w:rsidR="00FE4D6B" w:rsidRPr="00A17044" w:rsidRDefault="00FE4D6B" w:rsidP="00A17044">
      <w:pPr>
        <w:pStyle w:val="CMLnormal"/>
      </w:pPr>
    </w:p>
    <w:p w:rsidR="002D5659" w:rsidRDefault="002D5659" w:rsidP="002D5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19"/>
          <w:szCs w:val="19"/>
        </w:rPr>
      </w:pPr>
      <w:r>
        <w:rPr>
          <w:rFonts w:ascii="Arial" w:hAnsi="Arial" w:cs="Arial"/>
          <w:b/>
          <w:color w:val="000000"/>
          <w:sz w:val="19"/>
          <w:szCs w:val="19"/>
        </w:rPr>
        <w:t>Introduction</w:t>
      </w:r>
    </w:p>
    <w:p w:rsidR="002D5659" w:rsidRDefault="002D5659" w:rsidP="002D5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rsidR="002D5659" w:rsidRDefault="002D5659" w:rsidP="002D5659">
      <w:pPr>
        <w:pStyle w:val="CMLnumberedparagraph"/>
        <w:spacing w:after="0"/>
      </w:pPr>
      <w:r>
        <w:t>The CML is the representative trade body for the residential mortgage lender industry that includes banks, building societies and specialist lenders. Our 125 members currently hold around 95% of the assets of the UK mortgage market. In addition to lending for home-ownership, the CML members also lend to support the social housing and private rental markets.</w:t>
      </w:r>
    </w:p>
    <w:p w:rsidR="002D5659" w:rsidRPr="00A076D9" w:rsidRDefault="002D5659" w:rsidP="00A076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rsidR="002D5659" w:rsidRPr="002D5659" w:rsidRDefault="002D5659" w:rsidP="002D5659">
      <w:pPr>
        <w:pStyle w:val="CMLnumberedparagraph"/>
        <w:spacing w:after="0"/>
      </w:pPr>
      <w:r w:rsidRPr="002D5659">
        <w:t xml:space="preserve">We welcome the opportunity to respond to the European Banking Authority’s (EBA) consultation on guidelines for the Mortgage Credit Directive’s (MCD) creditworthiness assessment, EBA/CP/2014/42 </w:t>
      </w:r>
      <w:hyperlink r:id="rId12" w:history="1">
        <w:r w:rsidRPr="002D5659">
          <w:rPr>
            <w:rStyle w:val="Hyperlink"/>
            <w:i/>
          </w:rPr>
          <w:t>Draft guidelines on creditworthiness assessment</w:t>
        </w:r>
      </w:hyperlink>
      <w:r w:rsidRPr="002D5659">
        <w:t>.</w:t>
      </w:r>
    </w:p>
    <w:p w:rsidR="002D5659" w:rsidRDefault="002D5659" w:rsidP="002D5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rsidR="002D5659" w:rsidRDefault="006A4FD1" w:rsidP="002D5659">
      <w:pPr>
        <w:pStyle w:val="CMLnumberedparagraph"/>
        <w:spacing w:after="0"/>
        <w:rPr>
          <w:rFonts w:cs="Arial"/>
          <w:color w:val="000000"/>
          <w:sz w:val="19"/>
          <w:szCs w:val="19"/>
        </w:rPr>
      </w:pPr>
      <w:r>
        <w:rPr>
          <w:rFonts w:cs="Arial"/>
          <w:color w:val="000000"/>
          <w:sz w:val="19"/>
          <w:szCs w:val="19"/>
        </w:rPr>
        <w:t>We have some general comments as well as specific comments on the guidelines and the implementation timetable.</w:t>
      </w:r>
      <w:r w:rsidR="00821FF1">
        <w:rPr>
          <w:rFonts w:cs="Arial"/>
          <w:color w:val="000000"/>
          <w:sz w:val="19"/>
          <w:szCs w:val="19"/>
        </w:rPr>
        <w:t xml:space="preserve"> Our response only relates to a handful of aspects of the EBA’s consultation so we have chosen to give our comments under these headings.</w:t>
      </w:r>
    </w:p>
    <w:p w:rsidR="00821FF1" w:rsidRPr="00821FF1" w:rsidRDefault="00821FF1" w:rsidP="00821F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rsidR="00821FF1" w:rsidRDefault="00821FF1" w:rsidP="002D5659">
      <w:pPr>
        <w:pStyle w:val="CMLnumberedparagraph"/>
        <w:spacing w:after="0"/>
        <w:rPr>
          <w:rFonts w:cs="Arial"/>
          <w:color w:val="000000"/>
          <w:sz w:val="19"/>
          <w:szCs w:val="19"/>
        </w:rPr>
      </w:pPr>
      <w:r>
        <w:rPr>
          <w:rFonts w:cs="Arial"/>
          <w:color w:val="000000"/>
          <w:sz w:val="19"/>
          <w:szCs w:val="19"/>
        </w:rPr>
        <w:t>We are happy for the EBA to make our response publicly available.</w:t>
      </w:r>
    </w:p>
    <w:p w:rsidR="002D5659" w:rsidRDefault="002D5659" w:rsidP="002D5659">
      <w:pPr>
        <w:spacing w:after="0"/>
        <w:rPr>
          <w:rFonts w:ascii="Arial" w:hAnsi="Arial" w:cs="Arial"/>
          <w:color w:val="000000"/>
          <w:sz w:val="19"/>
          <w:szCs w:val="19"/>
        </w:rPr>
      </w:pPr>
    </w:p>
    <w:p w:rsidR="002D5659" w:rsidRDefault="002D5659" w:rsidP="002D5659">
      <w:pPr>
        <w:spacing w:after="0"/>
        <w:rPr>
          <w:rFonts w:ascii="Arial" w:hAnsi="Arial" w:cs="Arial"/>
          <w:b/>
          <w:color w:val="000000"/>
          <w:sz w:val="19"/>
          <w:szCs w:val="19"/>
        </w:rPr>
      </w:pPr>
      <w:r>
        <w:rPr>
          <w:rFonts w:ascii="Arial" w:hAnsi="Arial" w:cs="Arial"/>
          <w:b/>
          <w:color w:val="000000"/>
          <w:sz w:val="19"/>
          <w:szCs w:val="19"/>
        </w:rPr>
        <w:t>General comments</w:t>
      </w:r>
    </w:p>
    <w:p w:rsidR="002D5659" w:rsidRDefault="002D5659" w:rsidP="002D5659">
      <w:pPr>
        <w:spacing w:after="0"/>
        <w:rPr>
          <w:rFonts w:ascii="Arial" w:hAnsi="Arial" w:cs="Arial"/>
          <w:b/>
          <w:color w:val="000000"/>
          <w:sz w:val="19"/>
          <w:szCs w:val="19"/>
        </w:rPr>
      </w:pPr>
    </w:p>
    <w:p w:rsidR="002D5659" w:rsidRDefault="002D5659" w:rsidP="002D5659">
      <w:pPr>
        <w:pStyle w:val="CMLnumberedparagraph"/>
        <w:spacing w:after="0"/>
        <w:rPr>
          <w:rFonts w:cs="Arial"/>
          <w:color w:val="000000"/>
          <w:sz w:val="19"/>
          <w:szCs w:val="19"/>
        </w:rPr>
      </w:pPr>
      <w:r>
        <w:rPr>
          <w:rFonts w:cs="Arial"/>
          <w:color w:val="000000"/>
          <w:sz w:val="19"/>
          <w:szCs w:val="19"/>
        </w:rPr>
        <w:t>Mortgage lenders in the UK already do detailed assessments of customers’ ability to afford their mortgage. We believe this helps ensure good outcomes for customers, helping to ensure they can meet their terms and conditions of their loan.</w:t>
      </w:r>
    </w:p>
    <w:p w:rsidR="002D5659" w:rsidRDefault="002D5659" w:rsidP="002D5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rsidR="006A4FD1" w:rsidRPr="006A4FD1" w:rsidRDefault="002D5659" w:rsidP="006A4FD1">
      <w:pPr>
        <w:pStyle w:val="CMLnumberedparagraph"/>
        <w:spacing w:after="0"/>
        <w:rPr>
          <w:rFonts w:cs="Arial"/>
          <w:color w:val="000000"/>
          <w:sz w:val="19"/>
          <w:szCs w:val="19"/>
        </w:rPr>
      </w:pPr>
      <w:r>
        <w:rPr>
          <w:rFonts w:cs="Arial"/>
          <w:color w:val="000000"/>
          <w:sz w:val="19"/>
          <w:szCs w:val="19"/>
        </w:rPr>
        <w:t xml:space="preserve">We would have preferred there were </w:t>
      </w:r>
      <w:r w:rsidR="00074721">
        <w:rPr>
          <w:rFonts w:cs="Arial"/>
          <w:color w:val="000000"/>
          <w:sz w:val="19"/>
          <w:szCs w:val="19"/>
        </w:rPr>
        <w:t>no</w:t>
      </w:r>
      <w:r>
        <w:rPr>
          <w:rFonts w:cs="Arial"/>
          <w:color w:val="000000"/>
          <w:sz w:val="19"/>
          <w:szCs w:val="19"/>
        </w:rPr>
        <w:t xml:space="preserve"> further consultations on the MCD</w:t>
      </w:r>
      <w:r w:rsidR="00074721">
        <w:rPr>
          <w:rFonts w:cs="Arial"/>
          <w:color w:val="000000"/>
          <w:sz w:val="19"/>
          <w:szCs w:val="19"/>
        </w:rPr>
        <w:t xml:space="preserve"> following the publication of the MCD itself on 4 February 2014</w:t>
      </w:r>
      <w:r>
        <w:rPr>
          <w:rFonts w:cs="Arial"/>
          <w:color w:val="000000"/>
          <w:sz w:val="19"/>
          <w:szCs w:val="19"/>
        </w:rPr>
        <w:t xml:space="preserve">. The UK has already begun implementing the MCD. Further European publications </w:t>
      </w:r>
      <w:r w:rsidR="006A4FD1">
        <w:rPr>
          <w:rFonts w:cs="Arial"/>
          <w:color w:val="000000"/>
          <w:sz w:val="19"/>
          <w:szCs w:val="19"/>
        </w:rPr>
        <w:t>are not only disruptive to firms’ implementation</w:t>
      </w:r>
      <w:r>
        <w:rPr>
          <w:rFonts w:cs="Arial"/>
          <w:color w:val="000000"/>
          <w:sz w:val="19"/>
          <w:szCs w:val="19"/>
        </w:rPr>
        <w:t xml:space="preserve"> projects. </w:t>
      </w:r>
      <w:r w:rsidR="006A4FD1">
        <w:rPr>
          <w:rFonts w:cs="Arial"/>
          <w:color w:val="000000"/>
          <w:sz w:val="19"/>
          <w:szCs w:val="19"/>
        </w:rPr>
        <w:t>Further publications</w:t>
      </w:r>
      <w:r>
        <w:rPr>
          <w:rFonts w:cs="Arial"/>
          <w:color w:val="000000"/>
          <w:sz w:val="19"/>
          <w:szCs w:val="19"/>
        </w:rPr>
        <w:t xml:space="preserve"> also</w:t>
      </w:r>
      <w:r w:rsidR="00074721">
        <w:rPr>
          <w:rFonts w:cs="Arial"/>
          <w:color w:val="000000"/>
          <w:sz w:val="19"/>
          <w:szCs w:val="19"/>
        </w:rPr>
        <w:t xml:space="preserve"> create uncertainty about </w:t>
      </w:r>
      <w:r w:rsidR="006A4FD1">
        <w:rPr>
          <w:rFonts w:cs="Arial"/>
          <w:color w:val="000000"/>
          <w:sz w:val="19"/>
          <w:szCs w:val="19"/>
        </w:rPr>
        <w:t>further</w:t>
      </w:r>
      <w:r>
        <w:rPr>
          <w:rFonts w:cs="Arial"/>
          <w:color w:val="000000"/>
          <w:sz w:val="19"/>
          <w:szCs w:val="19"/>
        </w:rPr>
        <w:t xml:space="preserve"> supplementation </w:t>
      </w:r>
      <w:r w:rsidR="006A4FD1">
        <w:rPr>
          <w:rFonts w:cs="Arial"/>
          <w:color w:val="000000"/>
          <w:sz w:val="19"/>
          <w:szCs w:val="19"/>
        </w:rPr>
        <w:t>to</w:t>
      </w:r>
      <w:r>
        <w:rPr>
          <w:rFonts w:cs="Arial"/>
          <w:color w:val="000000"/>
          <w:sz w:val="19"/>
          <w:szCs w:val="19"/>
        </w:rPr>
        <w:t xml:space="preserve"> the MCD adopted on 4 February 2014.</w:t>
      </w:r>
    </w:p>
    <w:p w:rsidR="002D5659" w:rsidRDefault="002D5659" w:rsidP="002D5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rsidR="002D5659" w:rsidRDefault="006A4FD1" w:rsidP="002D5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19"/>
          <w:szCs w:val="19"/>
        </w:rPr>
      </w:pPr>
      <w:r>
        <w:rPr>
          <w:rFonts w:ascii="Arial" w:hAnsi="Arial" w:cs="Arial"/>
          <w:b/>
          <w:color w:val="000000"/>
          <w:sz w:val="19"/>
          <w:szCs w:val="19"/>
        </w:rPr>
        <w:t>Comments on the guidelines</w:t>
      </w:r>
    </w:p>
    <w:p w:rsidR="002D5659" w:rsidRDefault="002D5659" w:rsidP="002D5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19"/>
          <w:szCs w:val="19"/>
        </w:rPr>
      </w:pPr>
    </w:p>
    <w:p w:rsidR="008B6814" w:rsidRPr="00E346E6" w:rsidRDefault="00E346E6" w:rsidP="008B6814">
      <w:pPr>
        <w:pStyle w:val="CMLnumberedparagraph"/>
        <w:spacing w:after="0"/>
      </w:pPr>
      <w:r>
        <w:t xml:space="preserve">We recommend the EBA keeps its guidelines at a high level and does not provide additional detail. This will allow member states to implement the guidelines in a way that suits their national markets. </w:t>
      </w:r>
      <w:r w:rsidR="008B6814">
        <w:t xml:space="preserve">We note the Financial Stability Board (FSB) took this approach in its </w:t>
      </w:r>
      <w:hyperlink r:id="rId13" w:history="1">
        <w:r w:rsidR="008B6814" w:rsidRPr="00E346E6">
          <w:rPr>
            <w:rStyle w:val="Hyperlink"/>
            <w:rFonts w:cs="Arial"/>
            <w:i/>
            <w:sz w:val="19"/>
            <w:szCs w:val="19"/>
          </w:rPr>
          <w:t>FSB Principles for Sound Residential Mortgage Underwriting Practices</w:t>
        </w:r>
      </w:hyperlink>
      <w:r w:rsidR="008B6814" w:rsidRPr="00E346E6">
        <w:rPr>
          <w:rFonts w:cs="Arial"/>
          <w:color w:val="000000"/>
          <w:sz w:val="19"/>
          <w:szCs w:val="19"/>
        </w:rPr>
        <w:t>.</w:t>
      </w:r>
    </w:p>
    <w:p w:rsidR="00E346E6" w:rsidRDefault="00E346E6" w:rsidP="00E346E6">
      <w:pPr>
        <w:pStyle w:val="CMLnumberedparagraph"/>
        <w:numPr>
          <w:ilvl w:val="0"/>
          <w:numId w:val="0"/>
        </w:numPr>
        <w:spacing w:after="0"/>
      </w:pPr>
    </w:p>
    <w:p w:rsidR="00E346E6" w:rsidRPr="008B6814" w:rsidRDefault="00E346E6" w:rsidP="008B6814">
      <w:pPr>
        <w:pStyle w:val="CMLnumberedparagraph"/>
        <w:spacing w:after="0"/>
      </w:pPr>
      <w:r>
        <w:t>The EBA can ensure such flexibility for member states by not developing its guidelines with examples. We recommend the removal of statements that follow the sentence that begins, “The factors may include…” in guideline 4.3 and “…including for example…” in guideline 6.1.</w:t>
      </w:r>
      <w:r w:rsidR="00825D8F">
        <w:t xml:space="preserve"> The UK already meets these guidelines and we do not believe there is a need for further </w:t>
      </w:r>
      <w:r w:rsidR="007F3B60">
        <w:t>guidance.</w:t>
      </w:r>
      <w:bookmarkStart w:id="2" w:name="_GoBack"/>
      <w:bookmarkEnd w:id="2"/>
    </w:p>
    <w:p w:rsidR="002D5659" w:rsidRDefault="002D5659" w:rsidP="002D5659">
      <w:pPr>
        <w:pStyle w:val="CMLnumberedparagraph"/>
        <w:numPr>
          <w:ilvl w:val="0"/>
          <w:numId w:val="0"/>
        </w:numPr>
        <w:spacing w:after="0"/>
        <w:rPr>
          <w:rFonts w:cs="Arial"/>
          <w:color w:val="000000"/>
          <w:sz w:val="19"/>
          <w:szCs w:val="19"/>
        </w:rPr>
      </w:pPr>
    </w:p>
    <w:p w:rsidR="002D5659" w:rsidRDefault="008B6814" w:rsidP="004926C9">
      <w:pPr>
        <w:pStyle w:val="CMLnumberedparagraph"/>
        <w:spacing w:after="0"/>
        <w:rPr>
          <w:rFonts w:cs="Arial"/>
          <w:color w:val="000000"/>
          <w:sz w:val="19"/>
          <w:szCs w:val="19"/>
        </w:rPr>
      </w:pPr>
      <w:r>
        <w:rPr>
          <w:rFonts w:cs="Arial"/>
          <w:color w:val="000000"/>
          <w:sz w:val="19"/>
          <w:szCs w:val="19"/>
        </w:rPr>
        <w:t>We have some comments in specific areas.</w:t>
      </w:r>
    </w:p>
    <w:p w:rsidR="004926C9" w:rsidRDefault="004926C9" w:rsidP="004926C9">
      <w:pPr>
        <w:spacing w:after="0"/>
        <w:rPr>
          <w:rFonts w:cs="Arial"/>
          <w:color w:val="000000"/>
          <w:sz w:val="19"/>
          <w:szCs w:val="19"/>
        </w:rPr>
      </w:pPr>
    </w:p>
    <w:p w:rsidR="004926C9" w:rsidRPr="004926C9" w:rsidRDefault="004926C9" w:rsidP="004926C9">
      <w:pPr>
        <w:spacing w:after="0"/>
        <w:rPr>
          <w:rFonts w:cs="Arial"/>
          <w:i/>
          <w:color w:val="000000"/>
          <w:sz w:val="19"/>
          <w:szCs w:val="19"/>
        </w:rPr>
      </w:pPr>
      <w:r>
        <w:rPr>
          <w:rFonts w:cs="Arial"/>
          <w:i/>
          <w:color w:val="000000"/>
          <w:sz w:val="19"/>
          <w:szCs w:val="19"/>
        </w:rPr>
        <w:t>Identification of groups of loans with higher risk profiles</w:t>
      </w:r>
    </w:p>
    <w:p w:rsidR="005B481D" w:rsidRDefault="004926C9" w:rsidP="004926C9">
      <w:pPr>
        <w:pStyle w:val="CMLnumberedparagraph"/>
        <w:spacing w:after="0"/>
        <w:rPr>
          <w:rFonts w:cs="Arial"/>
          <w:color w:val="000000"/>
          <w:sz w:val="19"/>
          <w:szCs w:val="19"/>
        </w:rPr>
      </w:pPr>
      <w:r w:rsidRPr="005B481D">
        <w:rPr>
          <w:rFonts w:cs="Arial"/>
          <w:color w:val="000000"/>
          <w:sz w:val="19"/>
          <w:szCs w:val="19"/>
        </w:rPr>
        <w:t>We are very</w:t>
      </w:r>
      <w:r w:rsidR="005B481D">
        <w:rPr>
          <w:rFonts w:cs="Arial"/>
          <w:color w:val="000000"/>
          <w:sz w:val="19"/>
          <w:szCs w:val="19"/>
        </w:rPr>
        <w:t xml:space="preserve"> concerned about guideline 7.1. This guideline is more prudential rather than conduct regulation and firms are likely to be dealing with their approach to such loans through their credit risk policies rather than their responsible lending policies.</w:t>
      </w:r>
    </w:p>
    <w:p w:rsidR="005B481D" w:rsidRDefault="005B481D" w:rsidP="005B481D">
      <w:pPr>
        <w:pStyle w:val="CMLnumberedparagraph"/>
        <w:numPr>
          <w:ilvl w:val="0"/>
          <w:numId w:val="0"/>
        </w:numPr>
        <w:spacing w:after="0"/>
        <w:rPr>
          <w:rFonts w:cs="Arial"/>
          <w:color w:val="000000"/>
          <w:sz w:val="19"/>
          <w:szCs w:val="19"/>
        </w:rPr>
      </w:pPr>
    </w:p>
    <w:p w:rsidR="002E0232" w:rsidRDefault="005B481D" w:rsidP="002E0232">
      <w:pPr>
        <w:pStyle w:val="CMLnumberedparagraph"/>
        <w:spacing w:after="0"/>
        <w:rPr>
          <w:rFonts w:cs="Arial"/>
          <w:color w:val="000000"/>
          <w:sz w:val="19"/>
          <w:szCs w:val="19"/>
        </w:rPr>
      </w:pPr>
      <w:r>
        <w:rPr>
          <w:rFonts w:cs="Arial"/>
          <w:color w:val="000000"/>
          <w:sz w:val="19"/>
          <w:szCs w:val="19"/>
        </w:rPr>
        <w:lastRenderedPageBreak/>
        <w:t>This guideline also a</w:t>
      </w:r>
      <w:r w:rsidR="008B6814">
        <w:rPr>
          <w:rFonts w:cs="Arial"/>
          <w:color w:val="000000"/>
          <w:sz w:val="19"/>
          <w:szCs w:val="19"/>
        </w:rPr>
        <w:t xml:space="preserve">ppears to duplicate work the FSB has already done in this area. Principle 7.2 of the FSB document </w:t>
      </w:r>
      <w:r w:rsidR="002E0232">
        <w:rPr>
          <w:rFonts w:cs="Arial"/>
          <w:color w:val="000000"/>
          <w:sz w:val="19"/>
          <w:szCs w:val="19"/>
        </w:rPr>
        <w:t>above is almost identical to the EBA’s guideline 7.1. We consider the FSB principles are already well established and that it is unnecessary for the EBA to make provisions in this area.</w:t>
      </w:r>
    </w:p>
    <w:p w:rsidR="002E0232" w:rsidRDefault="002E0232" w:rsidP="002E0232">
      <w:pPr>
        <w:pStyle w:val="ListParagraph"/>
        <w:spacing w:after="0"/>
        <w:rPr>
          <w:rFonts w:cs="Arial"/>
          <w:color w:val="000000"/>
          <w:sz w:val="19"/>
          <w:szCs w:val="19"/>
        </w:rPr>
      </w:pPr>
    </w:p>
    <w:p w:rsidR="004926C9" w:rsidRPr="002E0232" w:rsidRDefault="002E0232" w:rsidP="002E0232">
      <w:pPr>
        <w:pStyle w:val="CMLnumberedparagraph"/>
        <w:spacing w:after="0"/>
        <w:rPr>
          <w:rFonts w:cs="Arial"/>
          <w:color w:val="000000"/>
          <w:sz w:val="19"/>
          <w:szCs w:val="19"/>
        </w:rPr>
      </w:pPr>
      <w:r w:rsidRPr="002E0232">
        <w:rPr>
          <w:rFonts w:cs="Arial"/>
          <w:color w:val="000000"/>
          <w:sz w:val="19"/>
          <w:szCs w:val="19"/>
        </w:rPr>
        <w:t xml:space="preserve"> </w:t>
      </w:r>
      <w:r>
        <w:rPr>
          <w:rFonts w:cs="Arial"/>
          <w:color w:val="000000"/>
          <w:sz w:val="19"/>
          <w:szCs w:val="19"/>
        </w:rPr>
        <w:t>We strongly recommend the EBA removes guideline 7.1 to avoid blurring of the distinction between conduct regulation and prudential regulation and to prevent duplication of existing work in this area.</w:t>
      </w:r>
    </w:p>
    <w:p w:rsidR="005B481D" w:rsidRPr="005B481D" w:rsidRDefault="005B481D" w:rsidP="005B481D">
      <w:pPr>
        <w:pStyle w:val="CMLnumberedparagraph"/>
        <w:numPr>
          <w:ilvl w:val="0"/>
          <w:numId w:val="0"/>
        </w:numPr>
        <w:spacing w:after="0"/>
        <w:rPr>
          <w:rFonts w:cs="Arial"/>
          <w:color w:val="000000"/>
          <w:sz w:val="19"/>
          <w:szCs w:val="19"/>
        </w:rPr>
      </w:pPr>
    </w:p>
    <w:p w:rsidR="004926C9" w:rsidRPr="004926C9" w:rsidRDefault="004926C9" w:rsidP="004926C9">
      <w:pPr>
        <w:spacing w:after="0"/>
        <w:rPr>
          <w:rFonts w:cs="Arial"/>
          <w:i/>
          <w:color w:val="000000"/>
          <w:sz w:val="19"/>
          <w:szCs w:val="19"/>
        </w:rPr>
      </w:pPr>
      <w:r>
        <w:rPr>
          <w:rFonts w:cs="Arial"/>
          <w:i/>
          <w:color w:val="000000"/>
          <w:sz w:val="19"/>
          <w:szCs w:val="19"/>
        </w:rPr>
        <w:t>Assessment of the customer’s ability to meet his or her obligations under the credit agreement</w:t>
      </w:r>
    </w:p>
    <w:p w:rsidR="001D53CF" w:rsidRDefault="001D53CF" w:rsidP="004926C9">
      <w:pPr>
        <w:pStyle w:val="CMLnumberedparagraph"/>
        <w:spacing w:after="0"/>
        <w:rPr>
          <w:rFonts w:cs="Arial"/>
          <w:color w:val="000000"/>
          <w:sz w:val="19"/>
          <w:szCs w:val="19"/>
        </w:rPr>
      </w:pPr>
      <w:r>
        <w:rPr>
          <w:rFonts w:cs="Arial"/>
          <w:color w:val="000000"/>
          <w:sz w:val="19"/>
          <w:szCs w:val="19"/>
        </w:rPr>
        <w:t>We recommend the EBA removes the reference to “normal” in guideline 4.4 regarding what firms should do where loans extend beyond retirement.</w:t>
      </w:r>
      <w:r w:rsidR="006A4FD1">
        <w:rPr>
          <w:rFonts w:cs="Arial"/>
          <w:color w:val="000000"/>
          <w:sz w:val="19"/>
          <w:szCs w:val="19"/>
        </w:rPr>
        <w:t xml:space="preserve"> We think this</w:t>
      </w:r>
      <w:r>
        <w:rPr>
          <w:rFonts w:cs="Arial"/>
          <w:color w:val="000000"/>
          <w:sz w:val="19"/>
          <w:szCs w:val="19"/>
        </w:rPr>
        <w:t xml:space="preserve"> change removes any uncertainty about a normal retirement age. It also ensures member states can make provisions according to local characteristics. Retirement ages will vary by member state, for example.</w:t>
      </w:r>
    </w:p>
    <w:p w:rsidR="006A4FD1" w:rsidRDefault="006A4FD1" w:rsidP="006A4FD1">
      <w:pPr>
        <w:pStyle w:val="CMLnumberedparagraph"/>
        <w:numPr>
          <w:ilvl w:val="0"/>
          <w:numId w:val="0"/>
        </w:numPr>
        <w:spacing w:after="0"/>
        <w:rPr>
          <w:rFonts w:cs="Arial"/>
          <w:color w:val="000000"/>
          <w:sz w:val="19"/>
          <w:szCs w:val="19"/>
        </w:rPr>
      </w:pPr>
    </w:p>
    <w:p w:rsidR="006A4FD1" w:rsidRDefault="006A4FD1" w:rsidP="006A4FD1">
      <w:pPr>
        <w:pStyle w:val="CMLnumberedparagraph"/>
        <w:numPr>
          <w:ilvl w:val="0"/>
          <w:numId w:val="0"/>
        </w:numPr>
        <w:spacing w:after="0"/>
        <w:rPr>
          <w:rFonts w:cs="Arial"/>
          <w:color w:val="000000"/>
          <w:sz w:val="19"/>
          <w:szCs w:val="19"/>
        </w:rPr>
      </w:pPr>
      <w:r>
        <w:rPr>
          <w:rFonts w:cs="Arial"/>
          <w:i/>
          <w:color w:val="000000"/>
          <w:sz w:val="19"/>
          <w:szCs w:val="19"/>
        </w:rPr>
        <w:t>Additional requirements</w:t>
      </w:r>
    </w:p>
    <w:p w:rsidR="006A4FD1" w:rsidRPr="006A4FD1" w:rsidRDefault="006A4FD1" w:rsidP="006A4FD1">
      <w:pPr>
        <w:pStyle w:val="CMLnumberedparagraph"/>
        <w:spacing w:after="0"/>
        <w:rPr>
          <w:rFonts w:cs="Arial"/>
          <w:color w:val="000000"/>
          <w:sz w:val="19"/>
          <w:szCs w:val="19"/>
        </w:rPr>
      </w:pPr>
      <w:r>
        <w:rPr>
          <w:rFonts w:cs="Arial"/>
          <w:color w:val="000000"/>
          <w:sz w:val="19"/>
          <w:szCs w:val="19"/>
        </w:rPr>
        <w:t>We do not believe any further requirements are necessary.</w:t>
      </w:r>
    </w:p>
    <w:p w:rsidR="002E0232" w:rsidRDefault="002E0232" w:rsidP="002E0232">
      <w:pPr>
        <w:pStyle w:val="CMLnumberedparagraph"/>
        <w:numPr>
          <w:ilvl w:val="0"/>
          <w:numId w:val="0"/>
        </w:numPr>
        <w:spacing w:after="0"/>
        <w:rPr>
          <w:rFonts w:cs="Arial"/>
          <w:color w:val="000000"/>
          <w:sz w:val="19"/>
          <w:szCs w:val="19"/>
        </w:rPr>
      </w:pPr>
    </w:p>
    <w:p w:rsidR="002E0232" w:rsidRDefault="002E0232" w:rsidP="002E0232">
      <w:pPr>
        <w:pStyle w:val="CMLnumberedparagraph"/>
        <w:numPr>
          <w:ilvl w:val="0"/>
          <w:numId w:val="0"/>
        </w:numPr>
        <w:spacing w:after="0"/>
        <w:rPr>
          <w:rFonts w:cs="Arial"/>
          <w:b/>
          <w:color w:val="000000"/>
          <w:sz w:val="19"/>
          <w:szCs w:val="19"/>
        </w:rPr>
      </w:pPr>
      <w:r>
        <w:rPr>
          <w:rFonts w:cs="Arial"/>
          <w:b/>
          <w:color w:val="000000"/>
          <w:sz w:val="19"/>
          <w:szCs w:val="19"/>
        </w:rPr>
        <w:t>Implementation</w:t>
      </w:r>
      <w:r w:rsidR="00D163AD">
        <w:rPr>
          <w:rFonts w:cs="Arial"/>
          <w:b/>
          <w:color w:val="000000"/>
          <w:sz w:val="19"/>
          <w:szCs w:val="19"/>
        </w:rPr>
        <w:t xml:space="preserve"> timetable</w:t>
      </w:r>
    </w:p>
    <w:p w:rsidR="00275A3F" w:rsidRDefault="00275A3F" w:rsidP="002E0232">
      <w:pPr>
        <w:pStyle w:val="CMLnumberedparagraph"/>
        <w:numPr>
          <w:ilvl w:val="0"/>
          <w:numId w:val="0"/>
        </w:numPr>
        <w:spacing w:after="0"/>
        <w:rPr>
          <w:rFonts w:cs="Arial"/>
          <w:color w:val="000000"/>
          <w:sz w:val="19"/>
          <w:szCs w:val="19"/>
        </w:rPr>
      </w:pPr>
    </w:p>
    <w:p w:rsidR="002A6606" w:rsidRDefault="002A6606" w:rsidP="00D163AD">
      <w:pPr>
        <w:pStyle w:val="CMLnumberedparagraph"/>
        <w:spacing w:after="0"/>
        <w:rPr>
          <w:rFonts w:cs="Arial"/>
          <w:color w:val="000000"/>
          <w:sz w:val="19"/>
          <w:szCs w:val="19"/>
        </w:rPr>
      </w:pPr>
      <w:r>
        <w:rPr>
          <w:rFonts w:cs="Arial"/>
          <w:color w:val="000000"/>
          <w:sz w:val="19"/>
          <w:szCs w:val="19"/>
        </w:rPr>
        <w:t>T</w:t>
      </w:r>
      <w:r w:rsidR="000173B6">
        <w:rPr>
          <w:rFonts w:cs="Arial"/>
          <w:color w:val="000000"/>
          <w:sz w:val="19"/>
          <w:szCs w:val="19"/>
        </w:rPr>
        <w:t>he timetable for implementation of these guidelines is</w:t>
      </w:r>
      <w:r w:rsidR="00D163AD">
        <w:rPr>
          <w:rFonts w:cs="Arial"/>
          <w:color w:val="000000"/>
          <w:sz w:val="19"/>
          <w:szCs w:val="19"/>
        </w:rPr>
        <w:t xml:space="preserve"> potentially very challenging</w:t>
      </w:r>
      <w:r>
        <w:rPr>
          <w:rFonts w:cs="Arial"/>
          <w:color w:val="000000"/>
          <w:sz w:val="19"/>
          <w:szCs w:val="19"/>
        </w:rPr>
        <w:t xml:space="preserve"> given the steps that will be required</w:t>
      </w:r>
      <w:r w:rsidR="00D163AD">
        <w:rPr>
          <w:rFonts w:cs="Arial"/>
          <w:color w:val="000000"/>
          <w:sz w:val="19"/>
          <w:szCs w:val="19"/>
        </w:rPr>
        <w:t>.</w:t>
      </w:r>
      <w:r w:rsidR="000173B6">
        <w:rPr>
          <w:rFonts w:cs="Arial"/>
          <w:color w:val="000000"/>
          <w:sz w:val="19"/>
          <w:szCs w:val="19"/>
        </w:rPr>
        <w:t xml:space="preserve"> </w:t>
      </w:r>
      <w:r>
        <w:rPr>
          <w:rFonts w:cs="Arial"/>
          <w:color w:val="000000"/>
          <w:sz w:val="19"/>
          <w:szCs w:val="19"/>
        </w:rPr>
        <w:t>This would be challenging at any time but firms will need to make such changes alongside those they already have to make for the MCD.</w:t>
      </w:r>
    </w:p>
    <w:p w:rsidR="002A6606" w:rsidRDefault="002A6606" w:rsidP="002A6606">
      <w:pPr>
        <w:pStyle w:val="CMLnumberedparagraph"/>
        <w:numPr>
          <w:ilvl w:val="0"/>
          <w:numId w:val="0"/>
        </w:numPr>
        <w:spacing w:after="0"/>
        <w:rPr>
          <w:rFonts w:cs="Arial"/>
          <w:color w:val="000000"/>
          <w:sz w:val="19"/>
          <w:szCs w:val="19"/>
        </w:rPr>
      </w:pPr>
    </w:p>
    <w:p w:rsidR="002A6606" w:rsidRDefault="002A6606" w:rsidP="00D163AD">
      <w:pPr>
        <w:pStyle w:val="CMLnumberedparagraph"/>
        <w:spacing w:after="0"/>
        <w:rPr>
          <w:rFonts w:cs="Arial"/>
          <w:color w:val="000000"/>
          <w:sz w:val="19"/>
          <w:szCs w:val="19"/>
        </w:rPr>
      </w:pPr>
      <w:r>
        <w:rPr>
          <w:rFonts w:cs="Arial"/>
          <w:color w:val="000000"/>
          <w:sz w:val="19"/>
          <w:szCs w:val="19"/>
        </w:rPr>
        <w:t xml:space="preserve">Overall we estimate this process </w:t>
      </w:r>
      <w:r w:rsidR="0054538A">
        <w:rPr>
          <w:rFonts w:cs="Arial"/>
          <w:color w:val="000000"/>
          <w:sz w:val="19"/>
          <w:szCs w:val="19"/>
        </w:rPr>
        <w:t xml:space="preserve">is likely to take several months. </w:t>
      </w:r>
      <w:r>
        <w:rPr>
          <w:rFonts w:cs="Arial"/>
          <w:color w:val="000000"/>
          <w:sz w:val="19"/>
          <w:szCs w:val="19"/>
        </w:rPr>
        <w:t>The EBA will need to evaluate consultation responses and then the UK’s regulator, the FCA, will need to consider its course of action and, potentially, to consult on and make changes to its rules. Even if this were complete by autumn 2015, it will be extremely challenging for firms to make last-minute amendments to the swathe of systems changes needed for the MCD.</w:t>
      </w:r>
    </w:p>
    <w:p w:rsidR="00D163AD" w:rsidRPr="00D163AD" w:rsidRDefault="00D163AD" w:rsidP="00D163AD">
      <w:pPr>
        <w:pStyle w:val="CMLnumberedparagraph"/>
        <w:numPr>
          <w:ilvl w:val="0"/>
          <w:numId w:val="0"/>
        </w:numPr>
        <w:spacing w:after="0"/>
        <w:rPr>
          <w:rFonts w:cs="Arial"/>
          <w:color w:val="000000"/>
          <w:sz w:val="19"/>
          <w:szCs w:val="19"/>
        </w:rPr>
      </w:pPr>
    </w:p>
    <w:p w:rsidR="00D163AD" w:rsidRDefault="00D163AD" w:rsidP="002E0232">
      <w:pPr>
        <w:pStyle w:val="CMLnumberedparagraph"/>
        <w:spacing w:after="0"/>
        <w:rPr>
          <w:rFonts w:cs="Arial"/>
          <w:color w:val="000000"/>
          <w:sz w:val="19"/>
          <w:szCs w:val="19"/>
        </w:rPr>
      </w:pPr>
      <w:r>
        <w:rPr>
          <w:rFonts w:cs="Arial"/>
          <w:color w:val="000000"/>
          <w:sz w:val="19"/>
          <w:szCs w:val="19"/>
        </w:rPr>
        <w:t>The timetable to implement the MCD is already very challenging.</w:t>
      </w:r>
      <w:r w:rsidR="002A6606">
        <w:rPr>
          <w:rFonts w:cs="Arial"/>
          <w:color w:val="000000"/>
          <w:sz w:val="19"/>
          <w:szCs w:val="19"/>
        </w:rPr>
        <w:t xml:space="preserve"> We recommend the EBA reconsiders the timetable and allows member states longer to implement these rules. </w:t>
      </w:r>
      <w:r>
        <w:rPr>
          <w:rFonts w:cs="Arial"/>
          <w:color w:val="000000"/>
          <w:sz w:val="19"/>
          <w:szCs w:val="19"/>
        </w:rPr>
        <w:t xml:space="preserve">We </w:t>
      </w:r>
      <w:r w:rsidR="002A6606">
        <w:rPr>
          <w:rFonts w:cs="Arial"/>
          <w:color w:val="000000"/>
          <w:sz w:val="19"/>
          <w:szCs w:val="19"/>
        </w:rPr>
        <w:t xml:space="preserve">also </w:t>
      </w:r>
      <w:r>
        <w:rPr>
          <w:rFonts w:cs="Arial"/>
          <w:color w:val="000000"/>
          <w:sz w:val="19"/>
          <w:szCs w:val="19"/>
        </w:rPr>
        <w:t xml:space="preserve">encourage the </w:t>
      </w:r>
      <w:r w:rsidR="006A4FD1">
        <w:rPr>
          <w:rFonts w:cs="Arial"/>
          <w:color w:val="000000"/>
          <w:sz w:val="19"/>
          <w:szCs w:val="19"/>
        </w:rPr>
        <w:t>EBA to take the ste</w:t>
      </w:r>
      <w:r w:rsidR="002A6606">
        <w:rPr>
          <w:rFonts w:cs="Arial"/>
          <w:color w:val="000000"/>
          <w:sz w:val="19"/>
          <w:szCs w:val="19"/>
        </w:rPr>
        <w:t>ps recommended herein to minimise the impact of any change on firms.</w:t>
      </w:r>
    </w:p>
    <w:p w:rsidR="00821FF1" w:rsidRDefault="00821FF1" w:rsidP="00821FF1">
      <w:pPr>
        <w:pStyle w:val="CMLnumberedparagraph"/>
        <w:numPr>
          <w:ilvl w:val="0"/>
          <w:numId w:val="0"/>
        </w:numPr>
        <w:spacing w:after="0"/>
        <w:rPr>
          <w:rFonts w:cs="Arial"/>
          <w:b/>
          <w:color w:val="000000"/>
          <w:sz w:val="19"/>
          <w:szCs w:val="19"/>
        </w:rPr>
      </w:pPr>
    </w:p>
    <w:p w:rsidR="00821FF1" w:rsidRDefault="00821FF1" w:rsidP="00821FF1">
      <w:pPr>
        <w:pStyle w:val="CMLnumberedparagraph"/>
        <w:numPr>
          <w:ilvl w:val="0"/>
          <w:numId w:val="0"/>
        </w:numPr>
        <w:spacing w:after="0"/>
        <w:rPr>
          <w:rFonts w:cs="Arial"/>
          <w:b/>
          <w:color w:val="000000"/>
          <w:sz w:val="19"/>
          <w:szCs w:val="19"/>
        </w:rPr>
      </w:pPr>
      <w:r>
        <w:rPr>
          <w:rFonts w:cs="Arial"/>
          <w:b/>
          <w:color w:val="000000"/>
          <w:sz w:val="19"/>
          <w:szCs w:val="19"/>
        </w:rPr>
        <w:t>Contact</w:t>
      </w:r>
    </w:p>
    <w:p w:rsidR="00275A3F" w:rsidRDefault="00275A3F" w:rsidP="00821FF1">
      <w:pPr>
        <w:pStyle w:val="CMLnumberedparagraph"/>
        <w:numPr>
          <w:ilvl w:val="0"/>
          <w:numId w:val="0"/>
        </w:numPr>
        <w:spacing w:after="0"/>
        <w:rPr>
          <w:rFonts w:cs="Arial"/>
          <w:b/>
          <w:color w:val="000000"/>
          <w:sz w:val="19"/>
          <w:szCs w:val="19"/>
        </w:rPr>
      </w:pPr>
    </w:p>
    <w:p w:rsidR="00821FF1" w:rsidRPr="00821FF1" w:rsidRDefault="00821FF1" w:rsidP="00821FF1">
      <w:pPr>
        <w:pStyle w:val="CMLnumberedparagraph"/>
        <w:spacing w:after="0"/>
        <w:rPr>
          <w:rFonts w:cs="Arial"/>
          <w:color w:val="000000"/>
          <w:sz w:val="19"/>
          <w:szCs w:val="19"/>
        </w:rPr>
      </w:pPr>
      <w:r>
        <w:rPr>
          <w:rFonts w:cs="Arial"/>
          <w:color w:val="000000"/>
          <w:sz w:val="19"/>
          <w:szCs w:val="19"/>
        </w:rPr>
        <w:t>We have prepared this response with our members. Please contact Andrew MacLachlan (</w:t>
      </w:r>
      <w:hyperlink r:id="rId14" w:history="1">
        <w:r w:rsidRPr="004062D4">
          <w:rPr>
            <w:rStyle w:val="Hyperlink"/>
            <w:rFonts w:cs="Arial"/>
            <w:sz w:val="19"/>
            <w:szCs w:val="19"/>
          </w:rPr>
          <w:t>andrew.maclachlan@cml.org.uk</w:t>
        </w:r>
      </w:hyperlink>
      <w:r>
        <w:rPr>
          <w:rFonts w:cs="Arial"/>
          <w:color w:val="000000"/>
          <w:sz w:val="19"/>
          <w:szCs w:val="19"/>
        </w:rPr>
        <w:t>) with any questions or comments.</w:t>
      </w:r>
    </w:p>
    <w:sectPr w:rsidR="00821FF1" w:rsidRPr="00821FF1">
      <w:headerReference w:type="even" r:id="rId15"/>
      <w:type w:val="continuous"/>
      <w:pgSz w:w="11906" w:h="16838"/>
      <w:pgMar w:top="1440" w:right="1440" w:bottom="72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659" w:rsidRDefault="002D5659">
      <w:r>
        <w:separator/>
      </w:r>
    </w:p>
  </w:endnote>
  <w:endnote w:type="continuationSeparator" w:id="0">
    <w:p w:rsidR="002D5659" w:rsidRDefault="002D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19" w:rsidRDefault="00992319">
    <w:pPr>
      <w:pStyle w:val="Footer"/>
    </w:pPr>
  </w:p>
  <w:p w:rsidR="00992319" w:rsidRDefault="009923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19" w:rsidRPr="00A361C6" w:rsidRDefault="00992319" w:rsidP="00A361C6">
    <w:pPr>
      <w:pStyle w:val="Footer"/>
      <w:tabs>
        <w:tab w:val="right" w:pos="-284"/>
        <w:tab w:val="right" w:pos="0"/>
      </w:tabs>
      <w:rPr>
        <w:rFonts w:ascii="Gill Sans MT" w:hAnsi="Gill Sans MT"/>
        <w:color w:val="0B1560"/>
        <w:sz w:val="16"/>
        <w:szCs w:val="16"/>
      </w:rPr>
    </w:pPr>
  </w:p>
  <w:p w:rsidR="00992319" w:rsidRPr="00A361C6" w:rsidRDefault="00992319" w:rsidP="00A361C6">
    <w:pPr>
      <w:pStyle w:val="Footer"/>
      <w:tabs>
        <w:tab w:val="right" w:pos="-284"/>
        <w:tab w:val="right" w:pos="0"/>
      </w:tabs>
      <w:rPr>
        <w:rFonts w:ascii="Gill Sans MT" w:hAnsi="Gill Sans MT"/>
        <w:color w:val="2461AA"/>
        <w:sz w:val="16"/>
        <w:szCs w:val="16"/>
      </w:rPr>
    </w:pPr>
    <w:r>
      <w:rPr>
        <w:rFonts w:ascii="Gill Sans MT" w:hAnsi="Gill Sans MT"/>
        <w:color w:val="0B1560"/>
        <w:sz w:val="16"/>
        <w:szCs w:val="16"/>
      </w:rPr>
      <w:t xml:space="preserve">address     </w:t>
    </w:r>
    <w:r w:rsidRPr="00247C06">
      <w:rPr>
        <w:rFonts w:ascii="Gill Sans MT" w:hAnsi="Gill Sans MT"/>
        <w:color w:val="2461AA"/>
        <w:sz w:val="16"/>
        <w:szCs w:val="16"/>
      </w:rPr>
      <w:t>North West Wing   Bush House   Aldwych   London   WC2B 4PJ</w:t>
    </w:r>
    <w:r w:rsidRPr="00247C06">
      <w:rPr>
        <w:rFonts w:ascii="Gill Sans MT" w:hAnsi="Gill Sans MT"/>
        <w:sz w:val="16"/>
        <w:szCs w:val="16"/>
      </w:rPr>
      <w:br/>
    </w:r>
    <w:r w:rsidRPr="00247C06">
      <w:rPr>
        <w:rFonts w:ascii="Gill Sans MT" w:hAnsi="Gill Sans MT"/>
        <w:color w:val="0B1560"/>
        <w:sz w:val="16"/>
        <w:szCs w:val="16"/>
      </w:rPr>
      <w:t>telephone</w:t>
    </w:r>
    <w:r>
      <w:rPr>
        <w:rFonts w:ascii="Gill Sans MT" w:hAnsi="Gill Sans MT"/>
        <w:color w:val="0B1560"/>
        <w:sz w:val="16"/>
        <w:szCs w:val="16"/>
      </w:rPr>
      <w:t xml:space="preserve">  </w:t>
    </w:r>
    <w:r>
      <w:rPr>
        <w:rFonts w:ascii="Gill Sans MT" w:hAnsi="Gill Sans MT"/>
        <w:color w:val="2461AA"/>
        <w:sz w:val="16"/>
        <w:szCs w:val="16"/>
      </w:rPr>
      <w:t>08</w:t>
    </w:r>
    <w:r w:rsidRPr="00247C06">
      <w:rPr>
        <w:rFonts w:ascii="Gill Sans MT" w:hAnsi="Gill Sans MT"/>
        <w:color w:val="2461AA"/>
        <w:sz w:val="16"/>
        <w:szCs w:val="16"/>
      </w:rPr>
      <w:t>45 373 6771</w:t>
    </w:r>
    <w:r w:rsidRPr="00247C06">
      <w:rPr>
        <w:rFonts w:ascii="Gill Sans MT" w:hAnsi="Gill Sans MT"/>
        <w:sz w:val="16"/>
        <w:szCs w:val="16"/>
      </w:rPr>
      <w:t xml:space="preserve">   </w:t>
    </w:r>
    <w:r w:rsidRPr="00247C06">
      <w:rPr>
        <w:rFonts w:ascii="Gill Sans MT" w:hAnsi="Gill Sans MT"/>
        <w:color w:val="0B1560"/>
        <w:sz w:val="16"/>
        <w:szCs w:val="16"/>
      </w:rPr>
      <w:t>fax</w:t>
    </w:r>
    <w:r w:rsidRPr="00247C06">
      <w:rPr>
        <w:rFonts w:ascii="Gill Sans MT" w:hAnsi="Gill Sans MT"/>
        <w:sz w:val="16"/>
        <w:szCs w:val="16"/>
      </w:rPr>
      <w:t xml:space="preserve">  </w:t>
    </w:r>
    <w:r w:rsidRPr="00247C06">
      <w:rPr>
        <w:rFonts w:ascii="Gill Sans MT" w:hAnsi="Gill Sans MT"/>
        <w:color w:val="2461AA"/>
        <w:sz w:val="16"/>
        <w:szCs w:val="16"/>
      </w:rPr>
      <w:t>0845 373 6778</w:t>
    </w:r>
    <w:r w:rsidRPr="00247C06">
      <w:rPr>
        <w:rFonts w:ascii="Gill Sans MT" w:hAnsi="Gill Sans MT"/>
        <w:sz w:val="16"/>
        <w:szCs w:val="16"/>
      </w:rPr>
      <w:t xml:space="preserve">   </w:t>
    </w:r>
    <w:r w:rsidRPr="00247C06">
      <w:rPr>
        <w:rFonts w:ascii="Gill Sans MT" w:hAnsi="Gill Sans MT"/>
        <w:color w:val="0B1560"/>
        <w:sz w:val="16"/>
        <w:szCs w:val="16"/>
      </w:rPr>
      <w:t>website</w:t>
    </w:r>
    <w:r w:rsidRPr="00247C06">
      <w:rPr>
        <w:rFonts w:ascii="Gill Sans MT" w:hAnsi="Gill Sans MT"/>
        <w:sz w:val="16"/>
        <w:szCs w:val="16"/>
      </w:rPr>
      <w:t xml:space="preserve">   </w:t>
    </w:r>
    <w:r w:rsidRPr="00247C06">
      <w:rPr>
        <w:rFonts w:ascii="Gill Sans MT" w:hAnsi="Gill Sans MT"/>
        <w:color w:val="2461AA"/>
        <w:sz w:val="16"/>
        <w:szCs w:val="16"/>
      </w:rPr>
      <w:t>www.cml.org.uk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659" w:rsidRDefault="002D5659">
      <w:r>
        <w:separator/>
      </w:r>
    </w:p>
  </w:footnote>
  <w:footnote w:type="continuationSeparator" w:id="0">
    <w:p w:rsidR="002D5659" w:rsidRDefault="002D5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19" w:rsidRDefault="00992319">
    <w:pPr>
      <w:pStyle w:val="Header"/>
    </w:pPr>
  </w:p>
  <w:p w:rsidR="00992319" w:rsidRDefault="00992319">
    <w:pPr>
      <w:pStyle w:val="Header"/>
    </w:pPr>
  </w:p>
  <w:p w:rsidR="00992319" w:rsidRDefault="00992319">
    <w:pPr>
      <w:pStyle w:val="Header"/>
    </w:pPr>
  </w:p>
  <w:p w:rsidR="00992319" w:rsidRDefault="00992319">
    <w:pPr>
      <w:pStyle w:val="Header"/>
    </w:pPr>
  </w:p>
  <w:p w:rsidR="00992319" w:rsidRDefault="009923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19" w:rsidRDefault="00992319">
    <w:pPr>
      <w:pStyle w:val="Header"/>
    </w:pPr>
  </w:p>
  <w:p w:rsidR="00992319" w:rsidRDefault="00D35019">
    <w:pPr>
      <w:pStyle w:val="Header"/>
    </w:pPr>
    <w:r>
      <w:rPr>
        <w:noProof/>
        <w:lang w:eastAsia="en-GB"/>
      </w:rPr>
      <w:drawing>
        <wp:anchor distT="0" distB="0" distL="114300" distR="114300" simplePos="0" relativeHeight="251657728" behindDoc="0" locked="0" layoutInCell="1" allowOverlap="1">
          <wp:simplePos x="0" y="0"/>
          <wp:positionH relativeFrom="page">
            <wp:posOffset>4968875</wp:posOffset>
          </wp:positionH>
          <wp:positionV relativeFrom="page">
            <wp:posOffset>360045</wp:posOffset>
          </wp:positionV>
          <wp:extent cx="2152650" cy="876300"/>
          <wp:effectExtent l="0" t="0" r="0" b="0"/>
          <wp:wrapNone/>
          <wp:docPr id="2" name="Picture 3"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319" w:rsidRDefault="0099231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90C080"/>
    <w:lvl w:ilvl="0">
      <w:start w:val="1"/>
      <w:numFmt w:val="decimal"/>
      <w:lvlText w:val="%1."/>
      <w:lvlJc w:val="left"/>
      <w:pPr>
        <w:tabs>
          <w:tab w:val="num" w:pos="1800"/>
        </w:tabs>
        <w:ind w:left="1800" w:hanging="360"/>
      </w:pPr>
    </w:lvl>
  </w:abstractNum>
  <w:abstractNum w:abstractNumId="1">
    <w:nsid w:val="FFFFFF7D"/>
    <w:multiLevelType w:val="singleLevel"/>
    <w:tmpl w:val="FDC2BFFE"/>
    <w:lvl w:ilvl="0">
      <w:start w:val="1"/>
      <w:numFmt w:val="decimal"/>
      <w:lvlText w:val="%1."/>
      <w:lvlJc w:val="left"/>
      <w:pPr>
        <w:tabs>
          <w:tab w:val="num" w:pos="1440"/>
        </w:tabs>
        <w:ind w:left="1440" w:hanging="360"/>
      </w:pPr>
    </w:lvl>
  </w:abstractNum>
  <w:abstractNum w:abstractNumId="2">
    <w:nsid w:val="FFFFFF7E"/>
    <w:multiLevelType w:val="singleLevel"/>
    <w:tmpl w:val="1CF8D098"/>
    <w:lvl w:ilvl="0">
      <w:start w:val="1"/>
      <w:numFmt w:val="decimal"/>
      <w:lvlText w:val="%1."/>
      <w:lvlJc w:val="left"/>
      <w:pPr>
        <w:tabs>
          <w:tab w:val="num" w:pos="1080"/>
        </w:tabs>
        <w:ind w:left="1080" w:hanging="360"/>
      </w:pPr>
    </w:lvl>
  </w:abstractNum>
  <w:abstractNum w:abstractNumId="3">
    <w:nsid w:val="FFFFFF7F"/>
    <w:multiLevelType w:val="singleLevel"/>
    <w:tmpl w:val="3DBA6DC4"/>
    <w:lvl w:ilvl="0">
      <w:start w:val="1"/>
      <w:numFmt w:val="decimal"/>
      <w:lvlText w:val="%1."/>
      <w:lvlJc w:val="left"/>
      <w:pPr>
        <w:tabs>
          <w:tab w:val="num" w:pos="720"/>
        </w:tabs>
        <w:ind w:left="720" w:hanging="360"/>
      </w:pPr>
    </w:lvl>
  </w:abstractNum>
  <w:abstractNum w:abstractNumId="4">
    <w:nsid w:val="FFFFFF80"/>
    <w:multiLevelType w:val="singleLevel"/>
    <w:tmpl w:val="5D2255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38E41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7819B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51C4B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14EFD84"/>
    <w:lvl w:ilvl="0">
      <w:start w:val="1"/>
      <w:numFmt w:val="decimal"/>
      <w:lvlText w:val="%1."/>
      <w:lvlJc w:val="left"/>
      <w:pPr>
        <w:tabs>
          <w:tab w:val="num" w:pos="360"/>
        </w:tabs>
        <w:ind w:left="360" w:hanging="360"/>
      </w:pPr>
    </w:lvl>
  </w:abstractNum>
  <w:abstractNum w:abstractNumId="9">
    <w:nsid w:val="FFFFFF89"/>
    <w:multiLevelType w:val="singleLevel"/>
    <w:tmpl w:val="62D4DD82"/>
    <w:lvl w:ilvl="0">
      <w:start w:val="1"/>
      <w:numFmt w:val="bullet"/>
      <w:lvlText w:val=""/>
      <w:lvlJc w:val="left"/>
      <w:pPr>
        <w:tabs>
          <w:tab w:val="num" w:pos="360"/>
        </w:tabs>
        <w:ind w:left="360" w:hanging="360"/>
      </w:pPr>
      <w:rPr>
        <w:rFonts w:ascii="Symbol" w:hAnsi="Symbol" w:hint="default"/>
      </w:rPr>
    </w:lvl>
  </w:abstractNum>
  <w:abstractNum w:abstractNumId="10">
    <w:nsid w:val="09292954"/>
    <w:multiLevelType w:val="hybridMultilevel"/>
    <w:tmpl w:val="0AE4112C"/>
    <w:lvl w:ilvl="0" w:tplc="A0044E10">
      <w:start w:val="1"/>
      <w:numFmt w:val="decimal"/>
      <w:lvlText w:val="%1."/>
      <w:lvlJc w:val="left"/>
      <w:pPr>
        <w:ind w:left="560" w:hanging="5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34E2770D"/>
    <w:multiLevelType w:val="multilevel"/>
    <w:tmpl w:val="48E03DFA"/>
    <w:lvl w:ilvl="0">
      <w:start w:val="1"/>
      <w:numFmt w:val="decimal"/>
      <w:pStyle w:val="CMLnumberedparagraph"/>
      <w:lvlText w:val="%1.    "/>
      <w:lvlJc w:val="left"/>
      <w:pPr>
        <w:tabs>
          <w:tab w:val="num" w:pos="720"/>
        </w:tabs>
        <w:ind w:left="0" w:firstLine="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
      <w:lvlJc w:val="left"/>
      <w:pPr>
        <w:tabs>
          <w:tab w:val="num" w:pos="1440"/>
        </w:tabs>
        <w:ind w:left="720" w:firstLine="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
      <w:lvlJc w:val="left"/>
      <w:pPr>
        <w:tabs>
          <w:tab w:val="num" w:pos="2520"/>
        </w:tabs>
        <w:ind w:left="1440" w:firstLine="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lvlText w:val="(%4)    "/>
      <w:lvlJc w:val="left"/>
      <w:pPr>
        <w:tabs>
          <w:tab w:val="num" w:pos="3240"/>
        </w:tabs>
        <w:ind w:left="2160" w:firstLine="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3240"/>
        </w:tabs>
        <w:ind w:left="2880" w:firstLine="0"/>
      </w:pPr>
      <w:rPr>
        <w:rFonts w:ascii="Symbol" w:hAnsi="Symbol" w:hint="default"/>
        <w:color w:val="auto"/>
      </w:rPr>
    </w:lvl>
    <w:lvl w:ilvl="5">
      <w:start w:val="1"/>
      <w:numFmt w:val="bullet"/>
      <w:lvlText w:val=""/>
      <w:lvlJc w:val="left"/>
      <w:pPr>
        <w:tabs>
          <w:tab w:val="num" w:pos="3960"/>
        </w:tabs>
        <w:ind w:left="3600" w:firstLine="0"/>
      </w:pPr>
      <w:rPr>
        <w:rFonts w:ascii="Symbol" w:hAnsi="Symbol" w:hint="default"/>
        <w:color w:val="auto"/>
      </w:rPr>
    </w:lvl>
    <w:lvl w:ilvl="6">
      <w:start w:val="1"/>
      <w:numFmt w:val="bullet"/>
      <w:lvlText w:val=""/>
      <w:lvlJc w:val="left"/>
      <w:pPr>
        <w:tabs>
          <w:tab w:val="num" w:pos="4680"/>
        </w:tabs>
        <w:ind w:left="4320" w:firstLine="0"/>
      </w:pPr>
      <w:rPr>
        <w:rFonts w:ascii="Symbol" w:hAnsi="Symbol" w:hint="default"/>
        <w:color w:val="auto"/>
      </w:rPr>
    </w:lvl>
    <w:lvl w:ilvl="7">
      <w:start w:val="1"/>
      <w:numFmt w:val="bullet"/>
      <w:lvlText w:val=""/>
      <w:lvlJc w:val="left"/>
      <w:pPr>
        <w:tabs>
          <w:tab w:val="num" w:pos="5400"/>
        </w:tabs>
        <w:ind w:left="5040" w:firstLine="0"/>
      </w:pPr>
      <w:rPr>
        <w:rFonts w:ascii="Symbol" w:hAnsi="Symbol" w:hint="default"/>
        <w:color w:val="auto"/>
      </w:rPr>
    </w:lvl>
    <w:lvl w:ilvl="8">
      <w:start w:val="1"/>
      <w:numFmt w:val="bullet"/>
      <w:lvlText w:val=""/>
      <w:lvlJc w:val="left"/>
      <w:pPr>
        <w:tabs>
          <w:tab w:val="num" w:pos="6120"/>
        </w:tabs>
        <w:ind w:left="5760" w:firstLine="0"/>
      </w:pPr>
      <w:rPr>
        <w:rFonts w:ascii="Symbol" w:hAnsi="Symbol" w:hint="default"/>
        <w:color w:val="auto"/>
      </w:rPr>
    </w:lvl>
  </w:abstractNum>
  <w:abstractNum w:abstractNumId="12">
    <w:nsid w:val="44564702"/>
    <w:multiLevelType w:val="hybridMultilevel"/>
    <w:tmpl w:val="8F0C6488"/>
    <w:lvl w:ilvl="0" w:tplc="E3664EE8">
      <w:start w:val="1"/>
      <w:numFmt w:val="bullet"/>
      <w:pStyle w:val="CMLBulletPoi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1D22E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0D5322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3F44820"/>
    <w:multiLevelType w:val="hybridMultilevel"/>
    <w:tmpl w:val="77741FCA"/>
    <w:lvl w:ilvl="0" w:tplc="EC54DE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76271A"/>
    <w:multiLevelType w:val="hybridMultilevel"/>
    <w:tmpl w:val="95404538"/>
    <w:lvl w:ilvl="0" w:tplc="D0CE23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2"/>
  </w:num>
  <w:num w:numId="14">
    <w:abstractNumId w:val="11"/>
  </w:num>
  <w:num w:numId="15">
    <w:abstractNumId w:val="13"/>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6qQnN+CsVkxcq5TDaE4kwoDYEE=" w:salt="12xXqRXi3ryxELLws6N7sg=="/>
  <w:defaultTabStop w:val="72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59"/>
    <w:rsid w:val="000173B6"/>
    <w:rsid w:val="00040262"/>
    <w:rsid w:val="00060E23"/>
    <w:rsid w:val="00074721"/>
    <w:rsid w:val="000F21E8"/>
    <w:rsid w:val="000F4896"/>
    <w:rsid w:val="00141C8B"/>
    <w:rsid w:val="001D53CF"/>
    <w:rsid w:val="001D5775"/>
    <w:rsid w:val="00221609"/>
    <w:rsid w:val="00227A74"/>
    <w:rsid w:val="00275A3F"/>
    <w:rsid w:val="002A5FEA"/>
    <w:rsid w:val="002A6606"/>
    <w:rsid w:val="002D5659"/>
    <w:rsid w:val="002E0232"/>
    <w:rsid w:val="002E6562"/>
    <w:rsid w:val="003429E6"/>
    <w:rsid w:val="00361C51"/>
    <w:rsid w:val="0036438C"/>
    <w:rsid w:val="003A03C7"/>
    <w:rsid w:val="003C2A84"/>
    <w:rsid w:val="003C2C71"/>
    <w:rsid w:val="003E4480"/>
    <w:rsid w:val="004458E7"/>
    <w:rsid w:val="004926C9"/>
    <w:rsid w:val="004B21D9"/>
    <w:rsid w:val="00505C8B"/>
    <w:rsid w:val="0051798B"/>
    <w:rsid w:val="005373B7"/>
    <w:rsid w:val="0054538A"/>
    <w:rsid w:val="005701F1"/>
    <w:rsid w:val="0059662E"/>
    <w:rsid w:val="005A02D4"/>
    <w:rsid w:val="005B481D"/>
    <w:rsid w:val="005D549E"/>
    <w:rsid w:val="005E06FA"/>
    <w:rsid w:val="005E46D3"/>
    <w:rsid w:val="00601D5D"/>
    <w:rsid w:val="0063793B"/>
    <w:rsid w:val="00695D84"/>
    <w:rsid w:val="006A4FD1"/>
    <w:rsid w:val="006E1A59"/>
    <w:rsid w:val="006F4312"/>
    <w:rsid w:val="0074422F"/>
    <w:rsid w:val="0074620C"/>
    <w:rsid w:val="0076387B"/>
    <w:rsid w:val="00765691"/>
    <w:rsid w:val="007A1CE4"/>
    <w:rsid w:val="007F1242"/>
    <w:rsid w:val="007F3B60"/>
    <w:rsid w:val="0081576D"/>
    <w:rsid w:val="00821FF1"/>
    <w:rsid w:val="00825D8F"/>
    <w:rsid w:val="008350BD"/>
    <w:rsid w:val="00873727"/>
    <w:rsid w:val="008B6814"/>
    <w:rsid w:val="00940C0C"/>
    <w:rsid w:val="00954F2A"/>
    <w:rsid w:val="0096331E"/>
    <w:rsid w:val="00992319"/>
    <w:rsid w:val="009C363F"/>
    <w:rsid w:val="009D0E7C"/>
    <w:rsid w:val="00A076D9"/>
    <w:rsid w:val="00A1445B"/>
    <w:rsid w:val="00A17044"/>
    <w:rsid w:val="00A32344"/>
    <w:rsid w:val="00A361C6"/>
    <w:rsid w:val="00A8574D"/>
    <w:rsid w:val="00AE0779"/>
    <w:rsid w:val="00B151E8"/>
    <w:rsid w:val="00B51988"/>
    <w:rsid w:val="00B95ECA"/>
    <w:rsid w:val="00BD5E33"/>
    <w:rsid w:val="00C453C6"/>
    <w:rsid w:val="00C46BF9"/>
    <w:rsid w:val="00CB2A84"/>
    <w:rsid w:val="00CF3EC2"/>
    <w:rsid w:val="00D163AD"/>
    <w:rsid w:val="00D26768"/>
    <w:rsid w:val="00D26D8B"/>
    <w:rsid w:val="00D35019"/>
    <w:rsid w:val="00D50998"/>
    <w:rsid w:val="00E27525"/>
    <w:rsid w:val="00E346E6"/>
    <w:rsid w:val="00E52203"/>
    <w:rsid w:val="00EA1028"/>
    <w:rsid w:val="00EC7CAC"/>
    <w:rsid w:val="00EF13E0"/>
    <w:rsid w:val="00F13278"/>
    <w:rsid w:val="00F25F7B"/>
    <w:rsid w:val="00F574FF"/>
    <w:rsid w:val="00FA42B5"/>
    <w:rsid w:val="00FA6B12"/>
    <w:rsid w:val="00FC4EAB"/>
    <w:rsid w:val="00FE4D6B"/>
    <w:rsid w:val="00FF3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5659"/>
    <w:pPr>
      <w:spacing w:after="200"/>
    </w:pPr>
    <w:rPr>
      <w:rFonts w:ascii="Helvetica" w:eastAsiaTheme="minorEastAsia" w:hAnsi="Helvetica" w:cstheme="minorBidi"/>
      <w:sz w:val="22"/>
      <w:szCs w:val="24"/>
      <w:lang w:eastAsia="ja-JP"/>
    </w:rPr>
  </w:style>
  <w:style w:type="paragraph" w:styleId="Heading1">
    <w:name w:val="heading 1"/>
    <w:basedOn w:val="Normal"/>
    <w:next w:val="Normal"/>
    <w:pPr>
      <w:keepNext/>
      <w:spacing w:before="240" w:after="60"/>
      <w:outlineLvl w:val="0"/>
    </w:pPr>
    <w:rPr>
      <w:rFonts w:cs="Arial"/>
      <w:b/>
      <w:bCs/>
      <w:kern w:val="32"/>
      <w:sz w:val="32"/>
      <w:szCs w:val="32"/>
    </w:rPr>
  </w:style>
  <w:style w:type="paragraph" w:styleId="Heading2">
    <w:name w:val="heading 2"/>
    <w:basedOn w:val="Normal"/>
    <w:next w:val="Normal"/>
    <w:pPr>
      <w:keepNext/>
      <w:spacing w:before="240" w:after="60"/>
      <w:outlineLvl w:val="1"/>
    </w:pPr>
    <w:rPr>
      <w:rFonts w:cs="Arial"/>
      <w:b/>
      <w:bCs/>
      <w:i/>
      <w:iCs/>
      <w:sz w:val="28"/>
      <w:szCs w:val="28"/>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Lnormal">
    <w:name w:val="CML normal"/>
    <w:qFormat/>
    <w:rsid w:val="003E4480"/>
    <w:pPr>
      <w:tabs>
        <w:tab w:val="left" w:pos="720"/>
        <w:tab w:val="left" w:pos="1440"/>
        <w:tab w:val="left" w:pos="2160"/>
        <w:tab w:val="left" w:pos="2880"/>
        <w:tab w:val="left" w:pos="3600"/>
        <w:tab w:val="left" w:pos="4320"/>
        <w:tab w:val="left" w:pos="5040"/>
        <w:tab w:val="left" w:pos="5760"/>
      </w:tabs>
    </w:pPr>
    <w:rPr>
      <w:rFonts w:ascii="Arial" w:hAnsi="Arial"/>
      <w:lang w:eastAsia="en-US"/>
    </w:rPr>
  </w:style>
  <w:style w:type="paragraph" w:customStyle="1" w:styleId="CMLBulletPoint">
    <w:name w:val="CML Bullet Point"/>
    <w:basedOn w:val="CMLnormal"/>
    <w:qFormat/>
    <w:pPr>
      <w:numPr>
        <w:numId w:val="13"/>
      </w:numPr>
    </w:pPr>
  </w:style>
  <w:style w:type="paragraph" w:customStyle="1" w:styleId="CMLbold">
    <w:name w:val="CML bold"/>
    <w:basedOn w:val="CMLnormal"/>
    <w:next w:val="CMLnormal"/>
    <w:qFormat/>
    <w:rPr>
      <w:b/>
    </w:rPr>
  </w:style>
  <w:style w:type="paragraph" w:customStyle="1" w:styleId="CMLnumberedparagraph">
    <w:name w:val="CML numbered paragraph"/>
    <w:basedOn w:val="CMLnormal"/>
    <w:qFormat/>
    <w:rsid w:val="000F4896"/>
    <w:pPr>
      <w:numPr>
        <w:numId w:val="14"/>
      </w:numPr>
      <w:tabs>
        <w:tab w:val="clear" w:pos="1440"/>
      </w:tabs>
      <w:spacing w:after="240"/>
    </w:pPr>
  </w:style>
  <w:style w:type="character" w:styleId="Hyperlink">
    <w:name w:val="Hyperlink"/>
    <w:basedOn w:val="DefaultParagraphFont"/>
    <w:uiPriority w:val="99"/>
    <w:rsid w:val="00FC4EAB"/>
    <w:rPr>
      <w:rFonts w:ascii="Arial" w:hAnsi="Arial"/>
      <w:color w:val="0000FF"/>
      <w:sz w:val="20"/>
      <w:u w:val="single"/>
    </w:rPr>
  </w:style>
  <w:style w:type="paragraph" w:customStyle="1" w:styleId="CMLheadingcentre">
    <w:name w:val="CML heading centre"/>
    <w:basedOn w:val="CMLnormal"/>
    <w:next w:val="CMLnormal"/>
    <w:qFormat/>
    <w:pPr>
      <w:jc w:val="center"/>
    </w:pPr>
    <w:rPr>
      <w:b/>
    </w:rPr>
  </w:style>
  <w:style w:type="paragraph" w:styleId="Header">
    <w:name w:val="header"/>
    <w:basedOn w:val="Normal"/>
    <w:rsid w:val="003E4480"/>
    <w:pPr>
      <w:tabs>
        <w:tab w:val="center" w:pos="4153"/>
        <w:tab w:val="right" w:pos="8306"/>
      </w:tabs>
    </w:pPr>
  </w:style>
  <w:style w:type="paragraph" w:styleId="Footer">
    <w:name w:val="footer"/>
    <w:basedOn w:val="Normal"/>
    <w:link w:val="FooterChar"/>
    <w:rsid w:val="003E4480"/>
    <w:pPr>
      <w:tabs>
        <w:tab w:val="center" w:pos="4153"/>
        <w:tab w:val="right" w:pos="8306"/>
      </w:tabs>
    </w:pPr>
  </w:style>
  <w:style w:type="character" w:customStyle="1" w:styleId="FooterChar">
    <w:name w:val="Footer Char"/>
    <w:basedOn w:val="DefaultParagraphFont"/>
    <w:link w:val="Footer"/>
    <w:semiHidden/>
    <w:rsid w:val="003E4480"/>
    <w:rPr>
      <w:rFonts w:ascii="CG Times (W1)" w:hAnsi="CG Times (W1)"/>
      <w:sz w:val="24"/>
      <w:szCs w:val="24"/>
      <w:lang w:val="en-GB" w:eastAsia="en-US" w:bidi="ar-SA"/>
    </w:rPr>
  </w:style>
  <w:style w:type="paragraph" w:customStyle="1" w:styleId="CMLitalic">
    <w:name w:val="CML italic"/>
    <w:basedOn w:val="CMLnormal"/>
    <w:qFormat/>
    <w:rsid w:val="003C2A84"/>
    <w:rPr>
      <w:i/>
    </w:rPr>
  </w:style>
  <w:style w:type="paragraph" w:customStyle="1" w:styleId="CMLunderlined">
    <w:name w:val="CML underlined"/>
    <w:basedOn w:val="CMLnormal"/>
    <w:qFormat/>
    <w:rsid w:val="00361C51"/>
    <w:rPr>
      <w:u w:val="single"/>
    </w:rPr>
  </w:style>
  <w:style w:type="paragraph" w:styleId="ListParagraph">
    <w:name w:val="List Paragraph"/>
    <w:basedOn w:val="Normal"/>
    <w:uiPriority w:val="34"/>
    <w:qFormat/>
    <w:rsid w:val="002D56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D5659"/>
    <w:pPr>
      <w:spacing w:after="200"/>
    </w:pPr>
    <w:rPr>
      <w:rFonts w:ascii="Helvetica" w:eastAsiaTheme="minorEastAsia" w:hAnsi="Helvetica" w:cstheme="minorBidi"/>
      <w:sz w:val="22"/>
      <w:szCs w:val="24"/>
      <w:lang w:eastAsia="ja-JP"/>
    </w:rPr>
  </w:style>
  <w:style w:type="paragraph" w:styleId="Heading1">
    <w:name w:val="heading 1"/>
    <w:basedOn w:val="Normal"/>
    <w:next w:val="Normal"/>
    <w:pPr>
      <w:keepNext/>
      <w:spacing w:before="240" w:after="60"/>
      <w:outlineLvl w:val="0"/>
    </w:pPr>
    <w:rPr>
      <w:rFonts w:cs="Arial"/>
      <w:b/>
      <w:bCs/>
      <w:kern w:val="32"/>
      <w:sz w:val="32"/>
      <w:szCs w:val="32"/>
    </w:rPr>
  </w:style>
  <w:style w:type="paragraph" w:styleId="Heading2">
    <w:name w:val="heading 2"/>
    <w:basedOn w:val="Normal"/>
    <w:next w:val="Normal"/>
    <w:pPr>
      <w:keepNext/>
      <w:spacing w:before="240" w:after="60"/>
      <w:outlineLvl w:val="1"/>
    </w:pPr>
    <w:rPr>
      <w:rFonts w:cs="Arial"/>
      <w:b/>
      <w:bCs/>
      <w:i/>
      <w:iCs/>
      <w:sz w:val="28"/>
      <w:szCs w:val="28"/>
    </w:rPr>
  </w:style>
  <w:style w:type="paragraph" w:styleId="Heading3">
    <w:name w:val="heading 3"/>
    <w:basedOn w:val="Normal"/>
    <w:next w:val="Normal"/>
    <w:pPr>
      <w:keepNext/>
      <w:spacing w:before="240" w:after="60"/>
      <w:outlineLvl w:val="2"/>
    </w:pPr>
    <w:rPr>
      <w:rFonts w:cs="Arial"/>
      <w:b/>
      <w:bCs/>
      <w:sz w:val="26"/>
      <w:szCs w:val="26"/>
    </w:rPr>
  </w:style>
  <w:style w:type="paragraph" w:styleId="Heading4">
    <w:name w:val="heading 4"/>
    <w:basedOn w:val="Normal"/>
    <w:next w:val="Normal"/>
    <w:pPr>
      <w:keepNext/>
      <w:spacing w:before="240" w:after="60"/>
      <w:outlineLvl w:val="3"/>
    </w:pPr>
    <w:rPr>
      <w:rFonts w:ascii="Times New Roman" w:hAnsi="Times New Roman"/>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rFonts w:ascii="Times New Roman" w:hAnsi="Times New Roman"/>
      <w:b/>
      <w:bCs/>
      <w:szCs w:val="22"/>
    </w:rPr>
  </w:style>
  <w:style w:type="paragraph" w:styleId="Heading7">
    <w:name w:val="heading 7"/>
    <w:basedOn w:val="Normal"/>
    <w:next w:val="Normal"/>
    <w:pPr>
      <w:spacing w:before="240" w:after="60"/>
      <w:outlineLvl w:val="6"/>
    </w:pPr>
    <w:rPr>
      <w:rFonts w:ascii="Times New Roman" w:hAnsi="Times New Roman"/>
    </w:rPr>
  </w:style>
  <w:style w:type="paragraph" w:styleId="Heading8">
    <w:name w:val="heading 8"/>
    <w:basedOn w:val="Normal"/>
    <w:next w:val="Normal"/>
    <w:pPr>
      <w:spacing w:before="240" w:after="60"/>
      <w:outlineLvl w:val="7"/>
    </w:pPr>
    <w:rPr>
      <w:rFonts w:ascii="Times New Roman" w:hAnsi="Times New Roman"/>
      <w:i/>
      <w:iCs/>
    </w:rPr>
  </w:style>
  <w:style w:type="paragraph" w:styleId="Heading9">
    <w:name w:val="heading 9"/>
    <w:basedOn w:val="Normal"/>
    <w:next w:val="Normal"/>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Lnormal">
    <w:name w:val="CML normal"/>
    <w:qFormat/>
    <w:rsid w:val="003E4480"/>
    <w:pPr>
      <w:tabs>
        <w:tab w:val="left" w:pos="720"/>
        <w:tab w:val="left" w:pos="1440"/>
        <w:tab w:val="left" w:pos="2160"/>
        <w:tab w:val="left" w:pos="2880"/>
        <w:tab w:val="left" w:pos="3600"/>
        <w:tab w:val="left" w:pos="4320"/>
        <w:tab w:val="left" w:pos="5040"/>
        <w:tab w:val="left" w:pos="5760"/>
      </w:tabs>
    </w:pPr>
    <w:rPr>
      <w:rFonts w:ascii="Arial" w:hAnsi="Arial"/>
      <w:lang w:eastAsia="en-US"/>
    </w:rPr>
  </w:style>
  <w:style w:type="paragraph" w:customStyle="1" w:styleId="CMLBulletPoint">
    <w:name w:val="CML Bullet Point"/>
    <w:basedOn w:val="CMLnormal"/>
    <w:qFormat/>
    <w:pPr>
      <w:numPr>
        <w:numId w:val="13"/>
      </w:numPr>
    </w:pPr>
  </w:style>
  <w:style w:type="paragraph" w:customStyle="1" w:styleId="CMLbold">
    <w:name w:val="CML bold"/>
    <w:basedOn w:val="CMLnormal"/>
    <w:next w:val="CMLnormal"/>
    <w:qFormat/>
    <w:rPr>
      <w:b/>
    </w:rPr>
  </w:style>
  <w:style w:type="paragraph" w:customStyle="1" w:styleId="CMLnumberedparagraph">
    <w:name w:val="CML numbered paragraph"/>
    <w:basedOn w:val="CMLnormal"/>
    <w:qFormat/>
    <w:rsid w:val="000F4896"/>
    <w:pPr>
      <w:numPr>
        <w:numId w:val="14"/>
      </w:numPr>
      <w:tabs>
        <w:tab w:val="clear" w:pos="1440"/>
      </w:tabs>
      <w:spacing w:after="240"/>
    </w:pPr>
  </w:style>
  <w:style w:type="character" w:styleId="Hyperlink">
    <w:name w:val="Hyperlink"/>
    <w:basedOn w:val="DefaultParagraphFont"/>
    <w:uiPriority w:val="99"/>
    <w:rsid w:val="00FC4EAB"/>
    <w:rPr>
      <w:rFonts w:ascii="Arial" w:hAnsi="Arial"/>
      <w:color w:val="0000FF"/>
      <w:sz w:val="20"/>
      <w:u w:val="single"/>
    </w:rPr>
  </w:style>
  <w:style w:type="paragraph" w:customStyle="1" w:styleId="CMLheadingcentre">
    <w:name w:val="CML heading centre"/>
    <w:basedOn w:val="CMLnormal"/>
    <w:next w:val="CMLnormal"/>
    <w:qFormat/>
    <w:pPr>
      <w:jc w:val="center"/>
    </w:pPr>
    <w:rPr>
      <w:b/>
    </w:rPr>
  </w:style>
  <w:style w:type="paragraph" w:styleId="Header">
    <w:name w:val="header"/>
    <w:basedOn w:val="Normal"/>
    <w:rsid w:val="003E4480"/>
    <w:pPr>
      <w:tabs>
        <w:tab w:val="center" w:pos="4153"/>
        <w:tab w:val="right" w:pos="8306"/>
      </w:tabs>
    </w:pPr>
  </w:style>
  <w:style w:type="paragraph" w:styleId="Footer">
    <w:name w:val="footer"/>
    <w:basedOn w:val="Normal"/>
    <w:link w:val="FooterChar"/>
    <w:rsid w:val="003E4480"/>
    <w:pPr>
      <w:tabs>
        <w:tab w:val="center" w:pos="4153"/>
        <w:tab w:val="right" w:pos="8306"/>
      </w:tabs>
    </w:pPr>
  </w:style>
  <w:style w:type="character" w:customStyle="1" w:styleId="FooterChar">
    <w:name w:val="Footer Char"/>
    <w:basedOn w:val="DefaultParagraphFont"/>
    <w:link w:val="Footer"/>
    <w:semiHidden/>
    <w:rsid w:val="003E4480"/>
    <w:rPr>
      <w:rFonts w:ascii="CG Times (W1)" w:hAnsi="CG Times (W1)"/>
      <w:sz w:val="24"/>
      <w:szCs w:val="24"/>
      <w:lang w:val="en-GB" w:eastAsia="en-US" w:bidi="ar-SA"/>
    </w:rPr>
  </w:style>
  <w:style w:type="paragraph" w:customStyle="1" w:styleId="CMLitalic">
    <w:name w:val="CML italic"/>
    <w:basedOn w:val="CMLnormal"/>
    <w:qFormat/>
    <w:rsid w:val="003C2A84"/>
    <w:rPr>
      <w:i/>
    </w:rPr>
  </w:style>
  <w:style w:type="paragraph" w:customStyle="1" w:styleId="CMLunderlined">
    <w:name w:val="CML underlined"/>
    <w:basedOn w:val="CMLnormal"/>
    <w:qFormat/>
    <w:rsid w:val="00361C51"/>
    <w:rPr>
      <w:u w:val="single"/>
    </w:rPr>
  </w:style>
  <w:style w:type="paragraph" w:styleId="ListParagraph">
    <w:name w:val="List Paragraph"/>
    <w:basedOn w:val="Normal"/>
    <w:uiPriority w:val="34"/>
    <w:qFormat/>
    <w:rsid w:val="002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nancialstabilityboard.org/wp-content/uploads/r_120418.pdf?page_moved=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ba.europa.eu/documents/10180/926843/EBA-CP-2014-42+(CP+on+GLs+on+creditworthines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ndrew.maclachlan@cm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CML%20general\E-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E-submission</Template>
  <TotalTime>452</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CML response</vt:lpstr>
    </vt:vector>
  </TitlesOfParts>
  <Company>Council of Mortgage Lenders</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CML response</dc:title>
  <dc:creator>Andrew Maclachlan</dc:creator>
  <cp:lastModifiedBy>Andrew Maclachlan</cp:lastModifiedBy>
  <cp:revision>12</cp:revision>
  <cp:lastPrinted>2008-11-03T15:26:00Z</cp:lastPrinted>
  <dcterms:created xsi:type="dcterms:W3CDTF">2015-01-27T09:17:00Z</dcterms:created>
  <dcterms:modified xsi:type="dcterms:W3CDTF">2015-02-10T10:32:00Z</dcterms:modified>
</cp:coreProperties>
</file>