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81" w:rsidRPr="00850EF0" w:rsidRDefault="00A76F81" w:rsidP="00A76F81">
      <w:pPr>
        <w:spacing w:after="0" w:line="240" w:lineRule="auto"/>
        <w:jc w:val="center"/>
        <w:rPr>
          <w:rFonts w:eastAsia="Times New Roman" w:cs="Segoe UI"/>
          <w:color w:val="000000"/>
          <w:sz w:val="36"/>
          <w:szCs w:val="36"/>
          <w:u w:val="single"/>
          <w:lang w:val="en-US" w:eastAsia="nl-BE"/>
        </w:rPr>
      </w:pPr>
    </w:p>
    <w:p w:rsidR="00A76F81" w:rsidRPr="00850EF0" w:rsidRDefault="00A76F81" w:rsidP="00BA26DE">
      <w:pPr>
        <w:spacing w:after="0" w:line="240" w:lineRule="auto"/>
        <w:rPr>
          <w:rFonts w:ascii="YBSG Headline" w:eastAsia="Times New Roman" w:hAnsi="YBSG Headline" w:cs="Segoe UI"/>
          <w:color w:val="808080" w:themeColor="background1" w:themeShade="80"/>
          <w:sz w:val="36"/>
          <w:szCs w:val="36"/>
          <w:lang w:val="en-US" w:eastAsia="nl-BE"/>
        </w:rPr>
      </w:pPr>
      <w:r w:rsidRPr="00850EF0">
        <w:rPr>
          <w:rFonts w:ascii="YBSG Headline" w:eastAsia="Times New Roman" w:hAnsi="YBSG Headline" w:cs="Segoe UI"/>
          <w:color w:val="808080" w:themeColor="background1" w:themeShade="80"/>
          <w:sz w:val="36"/>
          <w:szCs w:val="36"/>
          <w:lang w:val="en-US" w:eastAsia="nl-BE"/>
        </w:rPr>
        <w:t>Y</w:t>
      </w:r>
      <w:r w:rsidR="00BA26DE" w:rsidRPr="00850EF0">
        <w:rPr>
          <w:rFonts w:ascii="YBSG Headline" w:eastAsia="Times New Roman" w:hAnsi="YBSG Headline" w:cs="Segoe UI"/>
          <w:color w:val="808080" w:themeColor="background1" w:themeShade="80"/>
          <w:sz w:val="36"/>
          <w:szCs w:val="36"/>
          <w:lang w:val="en-US" w:eastAsia="nl-BE"/>
        </w:rPr>
        <w:t xml:space="preserve">orkshire building society </w:t>
      </w:r>
      <w:r w:rsidRPr="00850EF0">
        <w:rPr>
          <w:rFonts w:ascii="YBSG Headline" w:eastAsia="Times New Roman" w:hAnsi="YBSG Headline" w:cs="Segoe UI"/>
          <w:color w:val="808080" w:themeColor="background1" w:themeShade="80"/>
          <w:sz w:val="36"/>
          <w:szCs w:val="36"/>
          <w:lang w:val="en-US" w:eastAsia="nl-BE"/>
        </w:rPr>
        <w:t xml:space="preserve">response to the   </w:t>
      </w:r>
    </w:p>
    <w:p w:rsidR="00A76F81" w:rsidRPr="00850EF0" w:rsidRDefault="00A76F81" w:rsidP="00BA26DE">
      <w:pPr>
        <w:spacing w:after="0" w:line="240" w:lineRule="auto"/>
        <w:rPr>
          <w:rFonts w:ascii="YBSG Headline" w:eastAsia="Times New Roman" w:hAnsi="YBSG Headline" w:cs="Segoe UI"/>
          <w:color w:val="808080" w:themeColor="background1" w:themeShade="80"/>
          <w:sz w:val="36"/>
          <w:szCs w:val="36"/>
          <w:lang w:val="en-GB" w:eastAsia="nl-BE"/>
        </w:rPr>
      </w:pPr>
      <w:r w:rsidRPr="00850EF0">
        <w:rPr>
          <w:rFonts w:ascii="YBSG Headline" w:eastAsia="Times New Roman" w:hAnsi="YBSG Headline" w:cs="Segoe UI"/>
          <w:color w:val="808080" w:themeColor="background1" w:themeShade="80"/>
          <w:sz w:val="36"/>
          <w:szCs w:val="36"/>
          <w:lang w:val="en-US" w:eastAsia="nl-BE"/>
        </w:rPr>
        <w:t xml:space="preserve">EBA consultation on </w:t>
      </w:r>
      <w:r w:rsidRPr="00850EF0">
        <w:rPr>
          <w:rFonts w:ascii="YBSG Headline" w:eastAsia="Times New Roman" w:hAnsi="YBSG Headline" w:cs="Segoe UI"/>
          <w:color w:val="808080" w:themeColor="background1" w:themeShade="80"/>
          <w:sz w:val="36"/>
          <w:szCs w:val="36"/>
          <w:lang w:val="en-GB" w:eastAsia="nl-BE"/>
        </w:rPr>
        <w:t>Draft Regulatory Technical Standards on criteria for determining the minimum requirement for own funds and eligible liabilities</w:t>
      </w:r>
      <w:r w:rsidR="00BA26DE" w:rsidRPr="00850EF0">
        <w:rPr>
          <w:rFonts w:ascii="YBSG Headline" w:eastAsia="Times New Roman" w:hAnsi="YBSG Headline" w:cs="Segoe UI"/>
          <w:color w:val="808080" w:themeColor="background1" w:themeShade="80"/>
          <w:sz w:val="36"/>
          <w:szCs w:val="36"/>
          <w:lang w:val="en-GB" w:eastAsia="nl-BE"/>
        </w:rPr>
        <w:t xml:space="preserve"> </w:t>
      </w:r>
      <w:r w:rsidRPr="00850EF0">
        <w:rPr>
          <w:rFonts w:ascii="YBSG Headline" w:eastAsia="Times New Roman" w:hAnsi="YBSG Headline" w:cs="Segoe UI"/>
          <w:color w:val="808080" w:themeColor="background1" w:themeShade="80"/>
          <w:sz w:val="36"/>
          <w:szCs w:val="36"/>
          <w:lang w:val="en-GB" w:eastAsia="nl-BE"/>
        </w:rPr>
        <w:t>under Directive 2014/59/EU</w:t>
      </w:r>
    </w:p>
    <w:p w:rsidR="00A76F81" w:rsidRPr="00BA26DE" w:rsidRDefault="00A76F81" w:rsidP="00BA26DE">
      <w:pPr>
        <w:spacing w:after="0" w:line="240" w:lineRule="auto"/>
        <w:rPr>
          <w:rFonts w:ascii="YBSG Headline" w:eastAsia="Times New Roman" w:hAnsi="YBSG Headline" w:cs="Segoe UI"/>
          <w:color w:val="808080" w:themeColor="background1" w:themeShade="80"/>
          <w:sz w:val="32"/>
          <w:szCs w:val="32"/>
          <w:lang w:val="en-US" w:eastAsia="nl-BE"/>
        </w:rPr>
      </w:pPr>
    </w:p>
    <w:p w:rsidR="00361A88" w:rsidRDefault="00B07C5B" w:rsidP="004E4C10">
      <w:pPr>
        <w:spacing w:after="0" w:line="240" w:lineRule="auto"/>
        <w:jc w:val="both"/>
        <w:rPr>
          <w:rFonts w:ascii="Trebuchet MS" w:eastAsia="Times New Roman" w:hAnsi="Trebuchet MS" w:cs="Segoe UI"/>
          <w:color w:val="000000"/>
          <w:lang w:val="en-US" w:eastAsia="nl-BE"/>
        </w:rPr>
      </w:pPr>
      <w:r w:rsidRPr="00BA26DE">
        <w:rPr>
          <w:rFonts w:ascii="Trebuchet MS" w:eastAsia="Times New Roman" w:hAnsi="Trebuchet MS" w:cs="Segoe UI"/>
          <w:color w:val="000000"/>
          <w:lang w:val="en-US" w:eastAsia="nl-BE"/>
        </w:rPr>
        <w:t>Y</w:t>
      </w:r>
      <w:r w:rsidR="00E35876" w:rsidRPr="00BA26DE">
        <w:rPr>
          <w:rFonts w:ascii="Trebuchet MS" w:eastAsia="Times New Roman" w:hAnsi="Trebuchet MS" w:cs="Segoe UI"/>
          <w:color w:val="000000"/>
          <w:lang w:val="en-US" w:eastAsia="nl-BE"/>
        </w:rPr>
        <w:t>orkshire Building Society (Y</w:t>
      </w:r>
      <w:r w:rsidRPr="00BA26DE">
        <w:rPr>
          <w:rFonts w:ascii="Trebuchet MS" w:eastAsia="Times New Roman" w:hAnsi="Trebuchet MS" w:cs="Segoe UI"/>
          <w:color w:val="000000"/>
          <w:lang w:val="en-US" w:eastAsia="nl-BE"/>
        </w:rPr>
        <w:t>BS</w:t>
      </w:r>
      <w:r w:rsidR="00E35876" w:rsidRPr="00BA26DE">
        <w:rPr>
          <w:rFonts w:ascii="Trebuchet MS" w:eastAsia="Times New Roman" w:hAnsi="Trebuchet MS" w:cs="Segoe UI"/>
          <w:color w:val="000000"/>
          <w:lang w:val="en-US" w:eastAsia="nl-BE"/>
        </w:rPr>
        <w:t>)</w:t>
      </w:r>
      <w:r w:rsidRPr="00BA26DE">
        <w:rPr>
          <w:rFonts w:ascii="Trebuchet MS" w:eastAsia="Times New Roman" w:hAnsi="Trebuchet MS" w:cs="Segoe UI"/>
          <w:color w:val="000000"/>
          <w:lang w:val="en-US" w:eastAsia="nl-BE"/>
        </w:rPr>
        <w:t xml:space="preserve"> </w:t>
      </w:r>
      <w:r w:rsidR="0060712B" w:rsidRPr="0060712B">
        <w:rPr>
          <w:rFonts w:ascii="Trebuchet MS" w:eastAsia="Times New Roman" w:hAnsi="Trebuchet MS" w:cs="Segoe UI"/>
          <w:color w:val="000000"/>
          <w:lang w:val="en-US" w:eastAsia="nl-BE"/>
        </w:rPr>
        <w:t xml:space="preserve">is owned and governed by our members and is </w:t>
      </w:r>
      <w:r w:rsidR="006F2A83">
        <w:rPr>
          <w:rFonts w:ascii="Trebuchet MS" w:eastAsia="Times New Roman" w:hAnsi="Trebuchet MS" w:cs="Segoe UI"/>
          <w:color w:val="000000"/>
          <w:lang w:val="en-US" w:eastAsia="nl-BE"/>
        </w:rPr>
        <w:t>the UK</w:t>
      </w:r>
      <w:r w:rsidR="00361A88">
        <w:rPr>
          <w:rFonts w:ascii="Trebuchet MS" w:eastAsia="Times New Roman" w:hAnsi="Trebuchet MS" w:cs="Segoe UI"/>
          <w:color w:val="000000"/>
          <w:lang w:val="en-US" w:eastAsia="nl-BE"/>
        </w:rPr>
        <w:t xml:space="preserve">s </w:t>
      </w:r>
      <w:r w:rsidR="0060712B" w:rsidRPr="0060712B">
        <w:rPr>
          <w:rFonts w:ascii="Trebuchet MS" w:eastAsia="Times New Roman" w:hAnsi="Trebuchet MS" w:cs="Segoe UI"/>
          <w:color w:val="000000"/>
          <w:lang w:val="en-US" w:eastAsia="nl-BE"/>
        </w:rPr>
        <w:t>second b</w:t>
      </w:r>
      <w:r w:rsidR="006F2A83">
        <w:rPr>
          <w:rFonts w:ascii="Trebuchet MS" w:eastAsia="Times New Roman" w:hAnsi="Trebuchet MS" w:cs="Segoe UI"/>
          <w:color w:val="000000"/>
          <w:lang w:val="en-US" w:eastAsia="nl-BE"/>
        </w:rPr>
        <w:t>iggest building society with 3.3</w:t>
      </w:r>
      <w:r w:rsidR="0060712B" w:rsidRPr="0060712B">
        <w:rPr>
          <w:rFonts w:ascii="Trebuchet MS" w:eastAsia="Times New Roman" w:hAnsi="Trebuchet MS" w:cs="Segoe UI"/>
          <w:color w:val="000000"/>
          <w:lang w:val="en-US" w:eastAsia="nl-BE"/>
        </w:rPr>
        <w:t xml:space="preserve"> million customers. The primary business areas are deposit-taking activities, mortgage sales and administration and mortgage-related insurances. </w:t>
      </w:r>
      <w:r w:rsidR="00850EF0">
        <w:rPr>
          <w:rFonts w:ascii="Trebuchet MS" w:eastAsia="Times New Roman" w:hAnsi="Trebuchet MS" w:cs="Segoe UI"/>
          <w:color w:val="000000"/>
          <w:lang w:val="en-US" w:eastAsia="nl-BE"/>
        </w:rPr>
        <w:t>The Society has total assets of</w:t>
      </w:r>
      <w:r w:rsidR="00850EF0" w:rsidRPr="00850EF0">
        <w:rPr>
          <w:rFonts w:ascii="Trebuchet MS" w:eastAsia="Times New Roman" w:hAnsi="Trebuchet MS" w:cs="Segoe UI"/>
          <w:color w:val="000000"/>
          <w:lang w:val="en-US" w:eastAsia="nl-BE"/>
        </w:rPr>
        <w:t xml:space="preserve"> £37.6bn</w:t>
      </w:r>
      <w:r w:rsidR="00850EF0">
        <w:rPr>
          <w:rFonts w:ascii="Trebuchet MS" w:eastAsia="Times New Roman" w:hAnsi="Trebuchet MS" w:cs="Segoe UI"/>
          <w:color w:val="000000"/>
          <w:lang w:val="en-US" w:eastAsia="nl-BE"/>
        </w:rPr>
        <w:t xml:space="preserve">, </w:t>
      </w:r>
      <w:r w:rsidR="00850EF0" w:rsidRPr="00850EF0">
        <w:rPr>
          <w:rFonts w:ascii="Trebuchet MS" w:eastAsia="Times New Roman" w:hAnsi="Trebuchet MS" w:cs="Segoe UI"/>
          <w:color w:val="000000"/>
          <w:lang w:val="en-US" w:eastAsia="nl-BE"/>
        </w:rPr>
        <w:t>a Common Equity Tier 1 capi</w:t>
      </w:r>
      <w:r w:rsidR="00850EF0">
        <w:rPr>
          <w:rFonts w:ascii="Trebuchet MS" w:eastAsia="Times New Roman" w:hAnsi="Trebuchet MS" w:cs="Segoe UI"/>
          <w:color w:val="000000"/>
          <w:lang w:val="en-US" w:eastAsia="nl-BE"/>
        </w:rPr>
        <w:t>tal ratio of 13.8%</w:t>
      </w:r>
      <w:r w:rsidR="00850EF0" w:rsidRPr="00850EF0">
        <w:rPr>
          <w:rFonts w:ascii="Trebuchet MS" w:eastAsia="Times New Roman" w:hAnsi="Trebuchet MS" w:cs="Segoe UI"/>
          <w:color w:val="000000"/>
          <w:lang w:val="en-US" w:eastAsia="nl-BE"/>
        </w:rPr>
        <w:t xml:space="preserve"> and leverage ratio of 4.8</w:t>
      </w:r>
      <w:r w:rsidR="00850EF0">
        <w:rPr>
          <w:rFonts w:ascii="Trebuchet MS" w:eastAsia="Times New Roman" w:hAnsi="Trebuchet MS" w:cs="Segoe UI"/>
          <w:color w:val="000000"/>
          <w:lang w:val="en-US" w:eastAsia="nl-BE"/>
        </w:rPr>
        <w:t>%.</w:t>
      </w:r>
    </w:p>
    <w:p w:rsidR="00361A88" w:rsidRDefault="00361A88" w:rsidP="004E4C10">
      <w:pPr>
        <w:spacing w:after="0" w:line="240" w:lineRule="auto"/>
        <w:jc w:val="both"/>
        <w:rPr>
          <w:rFonts w:ascii="Trebuchet MS" w:eastAsia="Times New Roman" w:hAnsi="Trebuchet MS" w:cs="Segoe UI"/>
          <w:color w:val="000000"/>
          <w:lang w:val="en-US" w:eastAsia="nl-BE"/>
        </w:rPr>
      </w:pPr>
    </w:p>
    <w:p w:rsidR="00B07C5B" w:rsidRPr="00BA26DE" w:rsidRDefault="00361A88" w:rsidP="004E4C10">
      <w:pPr>
        <w:spacing w:after="0" w:line="240" w:lineRule="auto"/>
        <w:jc w:val="both"/>
        <w:rPr>
          <w:rFonts w:ascii="Trebuchet MS" w:eastAsia="Times New Roman" w:hAnsi="Trebuchet MS" w:cs="Segoe UI"/>
          <w:color w:val="000000"/>
          <w:lang w:val="en-US" w:eastAsia="nl-BE"/>
        </w:rPr>
      </w:pPr>
      <w:r>
        <w:rPr>
          <w:rFonts w:ascii="Trebuchet MS" w:eastAsia="Times New Roman" w:hAnsi="Trebuchet MS" w:cs="Segoe UI"/>
          <w:color w:val="000000"/>
          <w:lang w:val="en-US" w:eastAsia="nl-BE"/>
        </w:rPr>
        <w:t xml:space="preserve">The Society </w:t>
      </w:r>
      <w:r w:rsidR="00B07C5B" w:rsidRPr="00BA26DE">
        <w:rPr>
          <w:rFonts w:ascii="Trebuchet MS" w:eastAsia="Times New Roman" w:hAnsi="Trebuchet MS" w:cs="Segoe UI"/>
          <w:color w:val="000000"/>
          <w:lang w:val="en-US" w:eastAsia="nl-BE"/>
        </w:rPr>
        <w:t xml:space="preserve">welcomes the opportunity given to stakeholders by the EBA to comment on the </w:t>
      </w:r>
      <w:r w:rsidR="00F74A92" w:rsidRPr="00BA26DE">
        <w:rPr>
          <w:rFonts w:ascii="Trebuchet MS" w:eastAsia="Times New Roman" w:hAnsi="Trebuchet MS" w:cs="Segoe UI"/>
          <w:color w:val="000000"/>
          <w:lang w:val="en-US" w:eastAsia="nl-BE"/>
        </w:rPr>
        <w:t xml:space="preserve">consultation paper on the draft regulatory technical standards </w:t>
      </w:r>
      <w:r w:rsidR="00E35876" w:rsidRPr="00BA26DE">
        <w:rPr>
          <w:rFonts w:ascii="Trebuchet MS" w:eastAsia="Times New Roman" w:hAnsi="Trebuchet MS" w:cs="Segoe UI"/>
          <w:color w:val="000000"/>
          <w:lang w:val="en-US" w:eastAsia="nl-BE"/>
        </w:rPr>
        <w:t xml:space="preserve">(RTS) </w:t>
      </w:r>
      <w:r w:rsidR="00F74A92" w:rsidRPr="00BA26DE">
        <w:rPr>
          <w:rFonts w:ascii="Trebuchet MS" w:eastAsia="Times New Roman" w:hAnsi="Trebuchet MS" w:cs="Segoe UI"/>
          <w:color w:val="000000"/>
          <w:lang w:val="en-US" w:eastAsia="nl-BE"/>
        </w:rPr>
        <w:t xml:space="preserve">on criteria for determining the minimum requirement for own funds and eligible liabilities </w:t>
      </w:r>
      <w:r w:rsidR="00E35876" w:rsidRPr="00BA26DE">
        <w:rPr>
          <w:rFonts w:ascii="Trebuchet MS" w:eastAsia="Times New Roman" w:hAnsi="Trebuchet MS" w:cs="Segoe UI"/>
          <w:color w:val="000000"/>
          <w:lang w:val="en-US" w:eastAsia="nl-BE"/>
        </w:rPr>
        <w:t xml:space="preserve">(MREL) </w:t>
      </w:r>
      <w:r w:rsidR="00F74A92" w:rsidRPr="00BA26DE">
        <w:rPr>
          <w:rFonts w:ascii="Trebuchet MS" w:eastAsia="Times New Roman" w:hAnsi="Trebuchet MS" w:cs="Segoe UI"/>
          <w:color w:val="000000"/>
          <w:lang w:val="en-US" w:eastAsia="nl-BE"/>
        </w:rPr>
        <w:t>under Directive 2014/59/EU.</w:t>
      </w:r>
    </w:p>
    <w:p w:rsidR="00ED24C8" w:rsidRPr="00BA26DE" w:rsidRDefault="00ED24C8" w:rsidP="004E4C10">
      <w:pPr>
        <w:spacing w:after="0" w:line="240" w:lineRule="auto"/>
        <w:jc w:val="both"/>
        <w:rPr>
          <w:rFonts w:ascii="Trebuchet MS" w:eastAsia="Times New Roman" w:hAnsi="Trebuchet MS" w:cs="Segoe UI"/>
          <w:color w:val="000000"/>
          <w:lang w:val="en-US" w:eastAsia="nl-BE"/>
        </w:rPr>
      </w:pPr>
    </w:p>
    <w:p w:rsidR="00ED24C8" w:rsidRPr="00BA26DE" w:rsidRDefault="00ED24C8" w:rsidP="004E4C10">
      <w:pPr>
        <w:spacing w:after="0" w:line="240" w:lineRule="auto"/>
        <w:jc w:val="both"/>
        <w:rPr>
          <w:rFonts w:ascii="Trebuchet MS" w:eastAsia="Times New Roman" w:hAnsi="Trebuchet MS" w:cs="Segoe UI"/>
          <w:color w:val="000000"/>
          <w:lang w:val="en-US" w:eastAsia="nl-BE"/>
        </w:rPr>
      </w:pPr>
      <w:r w:rsidRPr="00BA26DE">
        <w:rPr>
          <w:rFonts w:ascii="Trebuchet MS" w:eastAsia="Times New Roman" w:hAnsi="Trebuchet MS" w:cs="Segoe UI"/>
          <w:color w:val="000000"/>
          <w:lang w:val="en-US" w:eastAsia="nl-BE"/>
        </w:rPr>
        <w:t xml:space="preserve">As the UK trade body for building societies, the Building Societies Association (BSA) has committed itself to respond to the consultation paper. </w:t>
      </w:r>
      <w:r w:rsidR="00E35876" w:rsidRPr="00BA26DE">
        <w:rPr>
          <w:rFonts w:ascii="Trebuchet MS" w:eastAsia="Times New Roman" w:hAnsi="Trebuchet MS" w:cs="Segoe UI"/>
          <w:color w:val="000000"/>
          <w:lang w:val="en-US" w:eastAsia="nl-BE"/>
        </w:rPr>
        <w:t>As member of the BSA,</w:t>
      </w:r>
      <w:r w:rsidR="002E167E" w:rsidRPr="00BA26DE">
        <w:rPr>
          <w:rFonts w:ascii="Trebuchet MS" w:eastAsia="Times New Roman" w:hAnsi="Trebuchet MS" w:cs="Segoe UI"/>
          <w:color w:val="000000"/>
          <w:lang w:val="en-US" w:eastAsia="nl-BE"/>
        </w:rPr>
        <w:t xml:space="preserve"> </w:t>
      </w:r>
      <w:r w:rsidRPr="00BA26DE">
        <w:rPr>
          <w:rFonts w:ascii="Trebuchet MS" w:eastAsia="Times New Roman" w:hAnsi="Trebuchet MS" w:cs="Segoe UI"/>
          <w:color w:val="000000"/>
          <w:lang w:val="en-US" w:eastAsia="nl-BE"/>
        </w:rPr>
        <w:t>YBS</w:t>
      </w:r>
      <w:r w:rsidR="002E167E" w:rsidRPr="00BA26DE">
        <w:rPr>
          <w:rFonts w:ascii="Trebuchet MS" w:eastAsia="Times New Roman" w:hAnsi="Trebuchet MS" w:cs="Segoe UI"/>
          <w:color w:val="000000"/>
          <w:lang w:val="en-US" w:eastAsia="nl-BE"/>
        </w:rPr>
        <w:t xml:space="preserve"> </w:t>
      </w:r>
      <w:r w:rsidR="00E35876" w:rsidRPr="00BA26DE">
        <w:rPr>
          <w:rFonts w:ascii="Trebuchet MS" w:eastAsia="Times New Roman" w:hAnsi="Trebuchet MS" w:cs="Segoe UI"/>
          <w:color w:val="000000"/>
          <w:lang w:val="en-US" w:eastAsia="nl-BE"/>
        </w:rPr>
        <w:t xml:space="preserve">fully supports </w:t>
      </w:r>
      <w:r w:rsidR="006F2A83">
        <w:rPr>
          <w:rFonts w:ascii="Trebuchet MS" w:eastAsia="Times New Roman" w:hAnsi="Trebuchet MS" w:cs="Segoe UI"/>
          <w:color w:val="000000"/>
          <w:lang w:val="en-US" w:eastAsia="nl-BE"/>
        </w:rPr>
        <w:t xml:space="preserve">the </w:t>
      </w:r>
      <w:r w:rsidR="00E35876" w:rsidRPr="00BA26DE">
        <w:rPr>
          <w:rFonts w:ascii="Trebuchet MS" w:eastAsia="Times New Roman" w:hAnsi="Trebuchet MS" w:cs="Segoe UI"/>
          <w:color w:val="000000"/>
          <w:lang w:val="en-US" w:eastAsia="nl-BE"/>
        </w:rPr>
        <w:t>BSA</w:t>
      </w:r>
      <w:r w:rsidR="002E167E" w:rsidRPr="00BA26DE">
        <w:rPr>
          <w:rFonts w:ascii="Trebuchet MS" w:eastAsia="Times New Roman" w:hAnsi="Trebuchet MS" w:cs="Segoe UI"/>
          <w:color w:val="000000"/>
          <w:lang w:val="en-US" w:eastAsia="nl-BE"/>
        </w:rPr>
        <w:t xml:space="preserve"> submission</w:t>
      </w:r>
      <w:r w:rsidR="00E35876" w:rsidRPr="00BA26DE">
        <w:rPr>
          <w:rFonts w:ascii="Trebuchet MS" w:eastAsia="Times New Roman" w:hAnsi="Trebuchet MS" w:cs="Segoe UI"/>
          <w:color w:val="000000"/>
          <w:lang w:val="en-US" w:eastAsia="nl-BE"/>
        </w:rPr>
        <w:t xml:space="preserve">. However, YBS </w:t>
      </w:r>
      <w:r w:rsidRPr="00BA26DE">
        <w:rPr>
          <w:rFonts w:ascii="Trebuchet MS" w:eastAsia="Times New Roman" w:hAnsi="Trebuchet MS" w:cs="Segoe UI"/>
          <w:color w:val="000000"/>
          <w:lang w:val="en-US" w:eastAsia="nl-BE"/>
        </w:rPr>
        <w:t>wishes to take this opportunity to express its views on this topic as well giv</w:t>
      </w:r>
      <w:r w:rsidR="008014A7">
        <w:rPr>
          <w:rFonts w:ascii="Trebuchet MS" w:eastAsia="Times New Roman" w:hAnsi="Trebuchet MS" w:cs="Segoe UI"/>
          <w:color w:val="000000"/>
          <w:lang w:val="en-US" w:eastAsia="nl-BE"/>
        </w:rPr>
        <w:t>en the impact it has on our institution</w:t>
      </w:r>
      <w:r w:rsidRPr="00BA26DE">
        <w:rPr>
          <w:rFonts w:ascii="Trebuchet MS" w:eastAsia="Times New Roman" w:hAnsi="Trebuchet MS" w:cs="Segoe UI"/>
          <w:color w:val="000000"/>
          <w:lang w:val="en-US" w:eastAsia="nl-BE"/>
        </w:rPr>
        <w:t xml:space="preserve"> and sector as a whole. </w:t>
      </w:r>
    </w:p>
    <w:p w:rsidR="00F74A92" w:rsidRPr="00BA26DE" w:rsidRDefault="00F74A92" w:rsidP="004E4C10">
      <w:pPr>
        <w:spacing w:after="0" w:line="240" w:lineRule="auto"/>
        <w:jc w:val="both"/>
        <w:rPr>
          <w:rFonts w:ascii="Trebuchet MS" w:eastAsia="Times New Roman" w:hAnsi="Trebuchet MS" w:cs="Segoe UI"/>
          <w:color w:val="000000"/>
          <w:lang w:val="en-US" w:eastAsia="nl-BE"/>
        </w:rPr>
      </w:pPr>
      <w:r w:rsidRPr="00BA26DE">
        <w:rPr>
          <w:rFonts w:ascii="Trebuchet MS" w:eastAsia="Times New Roman" w:hAnsi="Trebuchet MS" w:cs="Segoe UI"/>
          <w:color w:val="000000"/>
          <w:lang w:val="en-US" w:eastAsia="nl-BE"/>
        </w:rPr>
        <w:t xml:space="preserve"> </w:t>
      </w:r>
    </w:p>
    <w:p w:rsidR="00F74A92" w:rsidRPr="00BA26DE" w:rsidRDefault="00F74A92" w:rsidP="00172EB4">
      <w:pPr>
        <w:spacing w:after="0" w:line="240" w:lineRule="auto"/>
        <w:jc w:val="both"/>
        <w:rPr>
          <w:rFonts w:ascii="Trebuchet MS" w:eastAsia="Times New Roman" w:hAnsi="Trebuchet MS" w:cs="Segoe UI"/>
          <w:color w:val="000000"/>
          <w:lang w:val="en-US" w:eastAsia="nl-BE"/>
        </w:rPr>
      </w:pPr>
      <w:r w:rsidRPr="00BA26DE">
        <w:rPr>
          <w:rFonts w:ascii="Trebuchet MS" w:eastAsia="Times New Roman" w:hAnsi="Trebuchet MS" w:cs="Segoe UI"/>
          <w:color w:val="000000"/>
          <w:lang w:val="en-US" w:eastAsia="nl-BE"/>
        </w:rPr>
        <w:t xml:space="preserve">YBS supports the overall objective of the Bank Recovery and Resolution Directive </w:t>
      </w:r>
      <w:r w:rsidR="002E167E" w:rsidRPr="00BA26DE">
        <w:rPr>
          <w:rFonts w:ascii="Trebuchet MS" w:eastAsia="Times New Roman" w:hAnsi="Trebuchet MS" w:cs="Segoe UI"/>
          <w:color w:val="000000"/>
          <w:lang w:val="en-US" w:eastAsia="nl-BE"/>
        </w:rPr>
        <w:t xml:space="preserve">(BRRD) </w:t>
      </w:r>
      <w:r w:rsidRPr="00BA26DE">
        <w:rPr>
          <w:rFonts w:ascii="Trebuchet MS" w:eastAsia="Times New Roman" w:hAnsi="Trebuchet MS" w:cs="Segoe UI"/>
          <w:color w:val="000000"/>
          <w:lang w:val="en-US" w:eastAsia="nl-BE"/>
        </w:rPr>
        <w:t xml:space="preserve">in that it provides for a resolution regime across the Union allowing authorities to deal with failing institutions: shareholders and creditors will have to bear the burden of bank failure, while minimizing moral hazard and risks to taxpayers. </w:t>
      </w:r>
    </w:p>
    <w:p w:rsidR="00F74A92" w:rsidRPr="00BA26DE" w:rsidRDefault="00F74A92" w:rsidP="005C279D">
      <w:pPr>
        <w:spacing w:after="0" w:line="240" w:lineRule="auto"/>
        <w:jc w:val="both"/>
        <w:rPr>
          <w:rFonts w:ascii="Trebuchet MS" w:eastAsia="Times New Roman" w:hAnsi="Trebuchet MS" w:cs="Segoe UI"/>
          <w:color w:val="000000"/>
          <w:lang w:val="en-US" w:eastAsia="nl-BE"/>
        </w:rPr>
      </w:pPr>
    </w:p>
    <w:p w:rsidR="002A74F3" w:rsidRPr="00BA26DE" w:rsidRDefault="00F74A92" w:rsidP="00172EB4">
      <w:pPr>
        <w:spacing w:after="0" w:line="240" w:lineRule="auto"/>
        <w:jc w:val="both"/>
        <w:rPr>
          <w:rFonts w:ascii="Trebuchet MS" w:eastAsia="Times New Roman" w:hAnsi="Trebuchet MS" w:cs="Segoe UI"/>
          <w:color w:val="000000"/>
          <w:lang w:val="en-US" w:eastAsia="nl-BE"/>
        </w:rPr>
      </w:pPr>
      <w:r w:rsidRPr="00BA26DE">
        <w:rPr>
          <w:rFonts w:ascii="Trebuchet MS" w:eastAsia="Times New Roman" w:hAnsi="Trebuchet MS" w:cs="Segoe UI"/>
          <w:color w:val="000000"/>
          <w:lang w:val="en-US" w:eastAsia="nl-BE"/>
        </w:rPr>
        <w:t>YBS agrees with the Directive obligation for institutions to meet a minimum re</w:t>
      </w:r>
      <w:r w:rsidR="00D0594D" w:rsidRPr="00BA26DE">
        <w:rPr>
          <w:rFonts w:ascii="Trebuchet MS" w:eastAsia="Times New Roman" w:hAnsi="Trebuchet MS" w:cs="Segoe UI"/>
          <w:color w:val="000000"/>
          <w:lang w:val="en-US" w:eastAsia="nl-BE"/>
        </w:rPr>
        <w:t xml:space="preserve">quirement for </w:t>
      </w:r>
      <w:r w:rsidR="002A74F3" w:rsidRPr="00BA26DE">
        <w:rPr>
          <w:rFonts w:ascii="Trebuchet MS" w:eastAsia="Times New Roman" w:hAnsi="Trebuchet MS" w:cs="Segoe UI"/>
          <w:color w:val="000000"/>
          <w:lang w:val="en-US" w:eastAsia="nl-BE"/>
        </w:rPr>
        <w:t xml:space="preserve">MREL. YBS believes that risk-based regulatory capital requirements should be the starting point for determining the quantum of loss absorption. </w:t>
      </w:r>
    </w:p>
    <w:p w:rsidR="002A74F3" w:rsidRPr="00BA26DE" w:rsidRDefault="002A74F3" w:rsidP="005C279D">
      <w:pPr>
        <w:spacing w:after="0" w:line="240" w:lineRule="auto"/>
        <w:jc w:val="both"/>
        <w:rPr>
          <w:rFonts w:ascii="Trebuchet MS" w:eastAsia="Times New Roman" w:hAnsi="Trebuchet MS" w:cs="Segoe UI"/>
          <w:color w:val="000000"/>
          <w:lang w:val="en-US" w:eastAsia="nl-BE"/>
        </w:rPr>
      </w:pPr>
    </w:p>
    <w:p w:rsidR="004E4C10" w:rsidRPr="00BA26DE" w:rsidRDefault="002A74F3" w:rsidP="00172EB4">
      <w:pPr>
        <w:spacing w:after="0" w:line="240" w:lineRule="auto"/>
        <w:jc w:val="both"/>
        <w:rPr>
          <w:rFonts w:ascii="Trebuchet MS" w:eastAsia="Times New Roman" w:hAnsi="Trebuchet MS" w:cs="Segoe UI"/>
          <w:color w:val="000000"/>
          <w:lang w:val="en-US" w:eastAsia="nl-BE"/>
        </w:rPr>
      </w:pPr>
      <w:r w:rsidRPr="00BA26DE">
        <w:rPr>
          <w:rFonts w:ascii="Trebuchet MS" w:eastAsia="Times New Roman" w:hAnsi="Trebuchet MS" w:cs="Segoe UI"/>
          <w:color w:val="000000"/>
          <w:lang w:val="en-US" w:eastAsia="nl-BE"/>
        </w:rPr>
        <w:t xml:space="preserve">We support </w:t>
      </w:r>
      <w:r w:rsidR="005B663B" w:rsidRPr="00BA26DE">
        <w:rPr>
          <w:rFonts w:ascii="Trebuchet MS" w:eastAsia="Times New Roman" w:hAnsi="Trebuchet MS" w:cs="Segoe UI"/>
          <w:color w:val="000000"/>
          <w:lang w:val="en-US" w:eastAsia="nl-BE"/>
        </w:rPr>
        <w:t>the EBA’s work</w:t>
      </w:r>
      <w:r w:rsidR="00ED24C8" w:rsidRPr="00BA26DE">
        <w:rPr>
          <w:rFonts w:ascii="Trebuchet MS" w:eastAsia="Times New Roman" w:hAnsi="Trebuchet MS" w:cs="Segoe UI"/>
          <w:color w:val="000000"/>
          <w:lang w:val="en-US" w:eastAsia="nl-BE"/>
        </w:rPr>
        <w:t xml:space="preserve"> in aligning the MREL and TLAC and w</w:t>
      </w:r>
      <w:r w:rsidRPr="00BA26DE">
        <w:rPr>
          <w:rFonts w:ascii="Trebuchet MS" w:eastAsia="Times New Roman" w:hAnsi="Trebuchet MS" w:cs="Segoe UI"/>
          <w:color w:val="000000"/>
          <w:lang w:val="en-US" w:eastAsia="nl-BE"/>
        </w:rPr>
        <w:t xml:space="preserve">e understand that the MREL standards would have to meet the TLAC requirements for </w:t>
      </w:r>
      <w:r w:rsidR="004E4C10" w:rsidRPr="00BA26DE">
        <w:rPr>
          <w:rFonts w:ascii="Trebuchet MS" w:eastAsia="Times New Roman" w:hAnsi="Trebuchet MS" w:cs="Segoe UI"/>
          <w:color w:val="000000"/>
          <w:lang w:val="en-US" w:eastAsia="nl-BE"/>
        </w:rPr>
        <w:t>global systemically important banks (</w:t>
      </w:r>
      <w:r w:rsidRPr="00BA26DE">
        <w:rPr>
          <w:rFonts w:ascii="Trebuchet MS" w:eastAsia="Times New Roman" w:hAnsi="Trebuchet MS" w:cs="Segoe UI"/>
          <w:color w:val="000000"/>
          <w:lang w:val="en-US" w:eastAsia="nl-BE"/>
        </w:rPr>
        <w:t>G-SIBs</w:t>
      </w:r>
      <w:r w:rsidR="004E4C10" w:rsidRPr="00BA26DE">
        <w:rPr>
          <w:rFonts w:ascii="Trebuchet MS" w:eastAsia="Times New Roman" w:hAnsi="Trebuchet MS" w:cs="Segoe UI"/>
          <w:color w:val="000000"/>
          <w:lang w:val="en-US" w:eastAsia="nl-BE"/>
        </w:rPr>
        <w:t>)</w:t>
      </w:r>
      <w:r w:rsidRPr="00BA26DE">
        <w:rPr>
          <w:rFonts w:ascii="Trebuchet MS" w:eastAsia="Times New Roman" w:hAnsi="Trebuchet MS" w:cs="Segoe UI"/>
          <w:color w:val="000000"/>
          <w:lang w:val="en-US" w:eastAsia="nl-BE"/>
        </w:rPr>
        <w:t>.</w:t>
      </w:r>
      <w:r w:rsidR="00ED24C8" w:rsidRPr="00BA26DE">
        <w:rPr>
          <w:rFonts w:ascii="Trebuchet MS" w:eastAsia="Times New Roman" w:hAnsi="Trebuchet MS" w:cs="Segoe UI"/>
          <w:color w:val="000000"/>
          <w:lang w:val="en-US" w:eastAsia="nl-BE"/>
        </w:rPr>
        <w:t xml:space="preserve"> </w:t>
      </w:r>
    </w:p>
    <w:p w:rsidR="004E4C10" w:rsidRPr="00BA26DE" w:rsidRDefault="004E4C10" w:rsidP="005C279D">
      <w:pPr>
        <w:spacing w:after="0" w:line="240" w:lineRule="auto"/>
        <w:jc w:val="both"/>
        <w:rPr>
          <w:rFonts w:ascii="Trebuchet MS" w:eastAsia="Times New Roman" w:hAnsi="Trebuchet MS" w:cs="Segoe UI"/>
          <w:color w:val="000000"/>
          <w:lang w:val="en-US" w:eastAsia="nl-BE"/>
        </w:rPr>
      </w:pPr>
    </w:p>
    <w:p w:rsidR="004E4C10" w:rsidRPr="00BA26DE" w:rsidRDefault="004E4C10" w:rsidP="00172EB4">
      <w:pPr>
        <w:spacing w:after="0" w:line="240" w:lineRule="auto"/>
        <w:jc w:val="both"/>
        <w:rPr>
          <w:rFonts w:ascii="Trebuchet MS" w:eastAsia="Times New Roman" w:hAnsi="Trebuchet MS" w:cs="Segoe UI"/>
          <w:color w:val="000000"/>
          <w:lang w:val="en-GB" w:eastAsia="nl-BE"/>
        </w:rPr>
      </w:pPr>
      <w:r w:rsidRPr="00BA26DE">
        <w:rPr>
          <w:rFonts w:ascii="Trebuchet MS" w:eastAsia="Times New Roman" w:hAnsi="Trebuchet MS" w:cs="Segoe UI"/>
          <w:color w:val="000000"/>
          <w:lang w:val="en-US" w:eastAsia="nl-BE"/>
        </w:rPr>
        <w:t xml:space="preserve">However, YBS </w:t>
      </w:r>
      <w:r w:rsidR="00E35876" w:rsidRPr="00BA26DE">
        <w:rPr>
          <w:rFonts w:ascii="Trebuchet MS" w:eastAsia="Times New Roman" w:hAnsi="Trebuchet MS" w:cs="Segoe UI"/>
          <w:color w:val="000000"/>
          <w:lang w:val="en-US" w:eastAsia="nl-BE"/>
        </w:rPr>
        <w:t xml:space="preserve">would like to stress that it </w:t>
      </w:r>
      <w:r w:rsidRPr="00BA26DE">
        <w:rPr>
          <w:rFonts w:ascii="Trebuchet MS" w:eastAsia="Times New Roman" w:hAnsi="Trebuchet MS" w:cs="Segoe UI"/>
          <w:color w:val="000000"/>
          <w:lang w:val="en-US" w:eastAsia="nl-BE"/>
        </w:rPr>
        <w:t>is not a global</w:t>
      </w:r>
      <w:r w:rsidR="006F2A83">
        <w:rPr>
          <w:rFonts w:ascii="Trebuchet MS" w:eastAsia="Times New Roman" w:hAnsi="Trebuchet MS" w:cs="Segoe UI"/>
          <w:color w:val="000000"/>
          <w:lang w:val="en-US" w:eastAsia="nl-BE"/>
        </w:rPr>
        <w:t xml:space="preserve"> systemically important bank. It</w:t>
      </w:r>
      <w:r w:rsidRPr="00BA26DE">
        <w:rPr>
          <w:rFonts w:ascii="Trebuchet MS" w:eastAsia="Times New Roman" w:hAnsi="Trebuchet MS" w:cs="Segoe UI"/>
          <w:color w:val="000000"/>
          <w:lang w:val="en-US" w:eastAsia="nl-BE"/>
        </w:rPr>
        <w:t xml:space="preserve"> therefore </w:t>
      </w:r>
      <w:r w:rsidR="002E167E" w:rsidRPr="00BA26DE">
        <w:rPr>
          <w:rFonts w:ascii="Trebuchet MS" w:eastAsia="Times New Roman" w:hAnsi="Trebuchet MS" w:cs="Segoe UI"/>
          <w:color w:val="000000"/>
          <w:lang w:val="en-US" w:eastAsia="nl-BE"/>
        </w:rPr>
        <w:t>would like to</w:t>
      </w:r>
      <w:r w:rsidRPr="00BA26DE">
        <w:rPr>
          <w:rFonts w:ascii="Trebuchet MS" w:eastAsia="Times New Roman" w:hAnsi="Trebuchet MS" w:cs="Segoe UI"/>
          <w:color w:val="000000"/>
          <w:lang w:val="en-GB" w:eastAsia="nl-BE"/>
        </w:rPr>
        <w:t xml:space="preserve"> remind the EBA of the objective of the regulatory standards, which  is to provide sufficient scope to take into account the specific characteristics of different institutions, such as YBS, and in particular to ensure that the </w:t>
      </w:r>
      <w:r w:rsidRPr="00BA26DE">
        <w:rPr>
          <w:rFonts w:ascii="Trebuchet MS" w:eastAsia="Times New Roman" w:hAnsi="Trebuchet MS" w:cs="Segoe UI"/>
          <w:b/>
          <w:color w:val="000000"/>
          <w:lang w:val="en-GB" w:eastAsia="nl-BE"/>
        </w:rPr>
        <w:t>principle of proportionality</w:t>
      </w:r>
      <w:r w:rsidRPr="00BA26DE">
        <w:rPr>
          <w:rFonts w:ascii="Trebuchet MS" w:eastAsia="Times New Roman" w:hAnsi="Trebuchet MS" w:cs="Segoe UI"/>
          <w:color w:val="000000"/>
          <w:lang w:val="en-GB" w:eastAsia="nl-BE"/>
        </w:rPr>
        <w:t xml:space="preserve"> is respected.</w:t>
      </w:r>
    </w:p>
    <w:p w:rsidR="00172EB4" w:rsidRPr="00BA26DE" w:rsidRDefault="00172EB4" w:rsidP="00172EB4">
      <w:pPr>
        <w:spacing w:after="0" w:line="240" w:lineRule="auto"/>
        <w:jc w:val="both"/>
        <w:rPr>
          <w:rFonts w:ascii="Trebuchet MS" w:eastAsia="Times New Roman" w:hAnsi="Trebuchet MS" w:cs="Segoe UI"/>
          <w:color w:val="000000"/>
          <w:lang w:val="en-GB" w:eastAsia="nl-BE"/>
        </w:rPr>
      </w:pPr>
    </w:p>
    <w:p w:rsidR="00ED24C8" w:rsidRPr="00BA26DE" w:rsidRDefault="006F2A83" w:rsidP="00172EB4">
      <w:pPr>
        <w:spacing w:after="0" w:line="240" w:lineRule="auto"/>
        <w:jc w:val="both"/>
        <w:rPr>
          <w:rFonts w:ascii="Trebuchet MS" w:eastAsia="Times New Roman" w:hAnsi="Trebuchet MS" w:cs="Segoe UI"/>
          <w:color w:val="000000"/>
          <w:lang w:val="en-GB" w:eastAsia="nl-BE"/>
        </w:rPr>
      </w:pPr>
      <w:r>
        <w:rPr>
          <w:rFonts w:ascii="Trebuchet MS" w:eastAsia="Times New Roman" w:hAnsi="Trebuchet MS" w:cs="Segoe UI"/>
          <w:color w:val="000000"/>
          <w:lang w:val="en-GB" w:eastAsia="nl-BE"/>
        </w:rPr>
        <w:t>As noted</w:t>
      </w:r>
      <w:r w:rsidR="004E4C10" w:rsidRPr="00BA26DE">
        <w:rPr>
          <w:rFonts w:ascii="Trebuchet MS" w:eastAsia="Times New Roman" w:hAnsi="Trebuchet MS" w:cs="Segoe UI"/>
          <w:color w:val="000000"/>
          <w:lang w:val="en-GB" w:eastAsia="nl-BE"/>
        </w:rPr>
        <w:t xml:space="preserve"> </w:t>
      </w:r>
      <w:r>
        <w:rPr>
          <w:rFonts w:ascii="Trebuchet MS" w:eastAsia="Times New Roman" w:hAnsi="Trebuchet MS" w:cs="Segoe UI"/>
          <w:color w:val="000000"/>
          <w:lang w:val="en-GB" w:eastAsia="nl-BE"/>
        </w:rPr>
        <w:t>in the consultation paper</w:t>
      </w:r>
      <w:r w:rsidR="004E4C10" w:rsidRPr="00BA26DE">
        <w:rPr>
          <w:rFonts w:ascii="Trebuchet MS" w:eastAsia="Times New Roman" w:hAnsi="Trebuchet MS" w:cs="Segoe UI"/>
          <w:color w:val="000000"/>
          <w:lang w:val="en-GB" w:eastAsia="nl-BE"/>
        </w:rPr>
        <w:t>, the EBA aims to implement the M</w:t>
      </w:r>
      <w:r>
        <w:rPr>
          <w:rFonts w:ascii="Trebuchet MS" w:eastAsia="Times New Roman" w:hAnsi="Trebuchet MS" w:cs="Segoe UI"/>
          <w:color w:val="000000"/>
          <w:lang w:val="en-GB" w:eastAsia="nl-BE"/>
        </w:rPr>
        <w:t>REL as required by the BRRD,</w:t>
      </w:r>
      <w:r w:rsidR="004E4C10" w:rsidRPr="00BA26DE">
        <w:rPr>
          <w:rFonts w:ascii="Trebuchet MS" w:eastAsia="Times New Roman" w:hAnsi="Trebuchet MS" w:cs="Segoe UI"/>
          <w:color w:val="000000"/>
          <w:lang w:val="en-GB" w:eastAsia="nl-BE"/>
        </w:rPr>
        <w:t xml:space="preserve"> in a way that is consistent with the developing international framework, while ensuring proportionality in its application to institutions other than G-SIBs</w:t>
      </w:r>
      <w:r w:rsidR="004E4C10" w:rsidRPr="00BA26DE">
        <w:rPr>
          <w:rFonts w:ascii="Trebuchet MS" w:eastAsia="Times New Roman" w:hAnsi="Trebuchet MS" w:cs="Segoe UI"/>
          <w:b/>
          <w:color w:val="000000"/>
          <w:lang w:val="en-GB" w:eastAsia="nl-BE"/>
        </w:rPr>
        <w:t xml:space="preserve">. </w:t>
      </w:r>
      <w:r w:rsidR="004E4C10" w:rsidRPr="00BA26DE">
        <w:rPr>
          <w:rFonts w:ascii="Trebuchet MS" w:eastAsia="Times New Roman" w:hAnsi="Trebuchet MS" w:cs="Segoe UI"/>
          <w:color w:val="000000"/>
          <w:lang w:val="en-GB" w:eastAsia="nl-BE"/>
        </w:rPr>
        <w:t>We believe this proportionality principle should take the specificities</w:t>
      </w:r>
      <w:r>
        <w:rPr>
          <w:rFonts w:ascii="Trebuchet MS" w:eastAsia="Times New Roman" w:hAnsi="Trebuchet MS" w:cs="Segoe UI"/>
          <w:color w:val="000000"/>
          <w:lang w:val="en-GB" w:eastAsia="nl-BE"/>
        </w:rPr>
        <w:t xml:space="preserve"> of the building society </w:t>
      </w:r>
      <w:r w:rsidR="004E4C10" w:rsidRPr="00BA26DE">
        <w:rPr>
          <w:rFonts w:ascii="Trebuchet MS" w:eastAsia="Times New Roman" w:hAnsi="Trebuchet MS" w:cs="Segoe UI"/>
          <w:color w:val="000000"/>
          <w:lang w:val="en-GB" w:eastAsia="nl-BE"/>
        </w:rPr>
        <w:t xml:space="preserve">structure into account since building societies </w:t>
      </w:r>
      <w:r>
        <w:rPr>
          <w:rFonts w:ascii="Trebuchet MS" w:eastAsia="Times New Roman" w:hAnsi="Trebuchet MS" w:cs="Segoe UI"/>
          <w:color w:val="000000"/>
          <w:lang w:val="en-GB" w:eastAsia="nl-BE"/>
        </w:rPr>
        <w:t xml:space="preserve">such as YBS </w:t>
      </w:r>
      <w:r w:rsidR="004E4C10" w:rsidRPr="00BA26DE">
        <w:rPr>
          <w:rFonts w:ascii="Trebuchet MS" w:eastAsia="Times New Roman" w:hAnsi="Trebuchet MS" w:cs="Segoe UI"/>
          <w:color w:val="000000"/>
          <w:lang w:val="en-GB" w:eastAsia="nl-BE"/>
        </w:rPr>
        <w:t>are not subject to TLAC standards.</w:t>
      </w:r>
    </w:p>
    <w:p w:rsidR="00217024" w:rsidRPr="00BA26DE" w:rsidRDefault="00217024" w:rsidP="005C279D">
      <w:pPr>
        <w:spacing w:after="0" w:line="240" w:lineRule="auto"/>
        <w:jc w:val="both"/>
        <w:rPr>
          <w:rFonts w:ascii="Trebuchet MS" w:eastAsia="Times New Roman" w:hAnsi="Trebuchet MS" w:cs="Segoe UI"/>
          <w:color w:val="000000"/>
          <w:lang w:val="en-GB" w:eastAsia="nl-BE"/>
        </w:rPr>
      </w:pPr>
    </w:p>
    <w:p w:rsidR="00ED24C8" w:rsidRPr="00BA26DE" w:rsidRDefault="004E4C10" w:rsidP="005C279D">
      <w:pPr>
        <w:pStyle w:val="ListParagraph"/>
        <w:spacing w:after="0" w:line="240" w:lineRule="auto"/>
        <w:ind w:left="0"/>
        <w:jc w:val="both"/>
        <w:rPr>
          <w:rFonts w:ascii="Trebuchet MS" w:eastAsia="Times New Roman" w:hAnsi="Trebuchet MS" w:cs="Segoe UI"/>
          <w:color w:val="000000"/>
          <w:lang w:val="en-US" w:eastAsia="nl-BE"/>
        </w:rPr>
      </w:pPr>
      <w:r w:rsidRPr="00BA26DE">
        <w:rPr>
          <w:rFonts w:ascii="Trebuchet MS" w:eastAsia="Times New Roman" w:hAnsi="Trebuchet MS" w:cs="Segoe UI"/>
          <w:color w:val="000000"/>
          <w:lang w:val="en-US" w:eastAsia="nl-BE"/>
        </w:rPr>
        <w:lastRenderedPageBreak/>
        <w:t>B</w:t>
      </w:r>
      <w:r w:rsidR="00ED24C8" w:rsidRPr="00BA26DE">
        <w:rPr>
          <w:rFonts w:ascii="Trebuchet MS" w:eastAsia="Times New Roman" w:hAnsi="Trebuchet MS" w:cs="Segoe UI"/>
          <w:color w:val="000000"/>
          <w:lang w:val="en-US" w:eastAsia="nl-BE"/>
        </w:rPr>
        <w:t>uilding societies would be negatively affected by any reflection of TLAC through MREL. MREL should not be used as a means to increase the already existing (near-) capital requirements. The advantage of the established CRR capital requirements is that they are risk-based and therefore relate to the real potential for losses. For that reason, YBS would want the leverage ratio to be excluded since it is unrelated to any relative measure of risk or loss and hence unsuitable to contribute to an assessment of loss absorption.</w:t>
      </w:r>
    </w:p>
    <w:p w:rsidR="00DA6D7F" w:rsidRPr="00BA26DE" w:rsidRDefault="00DA6D7F" w:rsidP="005C279D">
      <w:pPr>
        <w:spacing w:after="0" w:line="240" w:lineRule="auto"/>
        <w:jc w:val="both"/>
        <w:rPr>
          <w:rFonts w:ascii="Trebuchet MS" w:eastAsia="Times New Roman" w:hAnsi="Trebuchet MS" w:cs="Segoe UI"/>
          <w:b/>
          <w:color w:val="000000"/>
          <w:lang w:val="en-US" w:eastAsia="nl-BE"/>
        </w:rPr>
      </w:pPr>
    </w:p>
    <w:p w:rsidR="00D0594D" w:rsidRPr="00BA26DE" w:rsidRDefault="004E4C10" w:rsidP="005C279D">
      <w:pPr>
        <w:spacing w:after="0" w:line="240" w:lineRule="auto"/>
        <w:jc w:val="both"/>
        <w:rPr>
          <w:rFonts w:ascii="Trebuchet MS" w:eastAsia="Times New Roman" w:hAnsi="Trebuchet MS" w:cs="Segoe UI"/>
          <w:b/>
          <w:color w:val="000000"/>
          <w:lang w:val="en-US" w:eastAsia="nl-BE"/>
        </w:rPr>
      </w:pPr>
      <w:r w:rsidRPr="00BA26DE">
        <w:rPr>
          <w:rFonts w:ascii="Trebuchet MS" w:eastAsia="Times New Roman" w:hAnsi="Trebuchet MS" w:cs="Segoe UI"/>
          <w:b/>
          <w:color w:val="000000"/>
          <w:lang w:val="en-US" w:eastAsia="nl-BE"/>
        </w:rPr>
        <w:t xml:space="preserve">YBS </w:t>
      </w:r>
      <w:r w:rsidR="00361A88">
        <w:rPr>
          <w:rFonts w:ascii="Trebuchet MS" w:eastAsia="Times New Roman" w:hAnsi="Trebuchet MS" w:cs="Segoe UI"/>
          <w:b/>
          <w:color w:val="000000"/>
          <w:lang w:val="en-US" w:eastAsia="nl-BE"/>
        </w:rPr>
        <w:t xml:space="preserve">would therefore ask the EBA to help guide </w:t>
      </w:r>
      <w:r w:rsidRPr="00BA26DE">
        <w:rPr>
          <w:rFonts w:ascii="Trebuchet MS" w:eastAsia="Times New Roman" w:hAnsi="Trebuchet MS" w:cs="Segoe UI"/>
          <w:b/>
          <w:color w:val="000000"/>
          <w:lang w:val="en-US" w:eastAsia="nl-BE"/>
        </w:rPr>
        <w:t xml:space="preserve">the Prudential Regulation Authority (PRA) in the UK to implement the MREL standards to non-G-SIBS without </w:t>
      </w:r>
      <w:r w:rsidR="002E167E" w:rsidRPr="00BA26DE">
        <w:rPr>
          <w:rFonts w:ascii="Trebuchet MS" w:eastAsia="Times New Roman" w:hAnsi="Trebuchet MS" w:cs="Segoe UI"/>
          <w:b/>
          <w:color w:val="000000"/>
          <w:lang w:val="en-US" w:eastAsia="nl-BE"/>
        </w:rPr>
        <w:t xml:space="preserve">applying </w:t>
      </w:r>
      <w:r w:rsidR="008014A7">
        <w:rPr>
          <w:rFonts w:ascii="Trebuchet MS" w:eastAsia="Times New Roman" w:hAnsi="Trebuchet MS" w:cs="Segoe UI"/>
          <w:b/>
          <w:color w:val="000000"/>
          <w:lang w:val="en-US" w:eastAsia="nl-BE"/>
        </w:rPr>
        <w:t xml:space="preserve">anything approximating </w:t>
      </w:r>
      <w:r w:rsidRPr="00BA26DE">
        <w:rPr>
          <w:rFonts w:ascii="Trebuchet MS" w:eastAsia="Times New Roman" w:hAnsi="Trebuchet MS" w:cs="Segoe UI"/>
          <w:b/>
          <w:color w:val="000000"/>
          <w:lang w:val="en-US" w:eastAsia="nl-BE"/>
        </w:rPr>
        <w:t>the TLAC requirements.</w:t>
      </w:r>
    </w:p>
    <w:p w:rsidR="004E4C10" w:rsidRPr="00BA26DE" w:rsidRDefault="004E4C10" w:rsidP="00A76F81">
      <w:pPr>
        <w:spacing w:after="0" w:line="240" w:lineRule="auto"/>
        <w:rPr>
          <w:rFonts w:ascii="Trebuchet MS" w:eastAsia="Times New Roman" w:hAnsi="Trebuchet MS" w:cs="Segoe UI"/>
          <w:color w:val="000000"/>
          <w:lang w:val="en-US" w:eastAsia="nl-BE"/>
        </w:rPr>
      </w:pPr>
    </w:p>
    <w:p w:rsidR="00DA6D7F" w:rsidRPr="00BA26DE" w:rsidRDefault="00DA6D7F" w:rsidP="00B07C5B">
      <w:pPr>
        <w:spacing w:after="0" w:line="240" w:lineRule="auto"/>
        <w:rPr>
          <w:rFonts w:ascii="Trebuchet MS" w:eastAsia="Times New Roman" w:hAnsi="Trebuchet MS" w:cs="Segoe UI"/>
          <w:b/>
          <w:color w:val="000000"/>
          <w:lang w:val="en-GB" w:eastAsia="nl-BE"/>
        </w:rPr>
      </w:pPr>
    </w:p>
    <w:p w:rsidR="00905ED8" w:rsidRPr="00835AAE" w:rsidRDefault="00905ED8" w:rsidP="00905ED8">
      <w:pPr>
        <w:spacing w:after="0" w:line="240" w:lineRule="auto"/>
        <w:rPr>
          <w:rFonts w:ascii="Trebuchet MS" w:eastAsia="Times New Roman" w:hAnsi="Trebuchet MS" w:cs="Segoe UI"/>
          <w:i/>
          <w:color w:val="000000"/>
          <w:lang w:val="en-US" w:eastAsia="nl-BE"/>
        </w:rPr>
      </w:pPr>
      <w:r>
        <w:rPr>
          <w:rFonts w:ascii="Trebuchet MS" w:eastAsia="Times New Roman" w:hAnsi="Trebuchet MS" w:cs="Segoe UI"/>
          <w:b/>
          <w:color w:val="000000"/>
          <w:lang w:val="en-GB" w:eastAsia="nl-BE"/>
        </w:rPr>
        <w:t>On the detailed questions we would make the following observations</w:t>
      </w:r>
      <w:proofErr w:type="gramStart"/>
      <w:r>
        <w:rPr>
          <w:rFonts w:ascii="Trebuchet MS" w:eastAsia="Times New Roman" w:hAnsi="Trebuchet MS" w:cs="Segoe UI"/>
          <w:b/>
          <w:color w:val="000000"/>
          <w:lang w:val="en-GB" w:eastAsia="nl-BE"/>
        </w:rPr>
        <w:t>:</w:t>
      </w:r>
      <w:proofErr w:type="gramEnd"/>
      <w:r>
        <w:rPr>
          <w:rFonts w:ascii="Trebuchet MS" w:eastAsia="Times New Roman" w:hAnsi="Trebuchet MS" w:cs="Segoe UI"/>
          <w:b/>
          <w:color w:val="000000"/>
          <w:lang w:val="en-GB" w:eastAsia="nl-BE"/>
        </w:rPr>
        <w:br/>
      </w:r>
      <w:r>
        <w:rPr>
          <w:rFonts w:ascii="Trebuchet MS" w:eastAsia="Times New Roman" w:hAnsi="Trebuchet MS" w:cs="Segoe UI"/>
          <w:b/>
          <w:color w:val="000000"/>
          <w:lang w:val="en-GB" w:eastAsia="nl-BE"/>
        </w:rPr>
        <w:br/>
      </w:r>
      <w:r w:rsidRPr="00835AAE">
        <w:rPr>
          <w:rFonts w:ascii="Trebuchet MS" w:eastAsia="Times New Roman" w:hAnsi="Trebuchet MS" w:cs="Segoe UI"/>
          <w:i/>
          <w:color w:val="000000"/>
          <w:lang w:val="en-US" w:eastAsia="nl-BE"/>
        </w:rPr>
        <w:t>Question 1</w:t>
      </w:r>
    </w:p>
    <w:p w:rsidR="00905ED8" w:rsidRPr="00A15798" w:rsidRDefault="00905ED8" w:rsidP="00905ED8">
      <w:pPr>
        <w:spacing w:after="0" w:line="240" w:lineRule="auto"/>
        <w:rPr>
          <w:rFonts w:ascii="Trebuchet MS" w:eastAsia="Times New Roman" w:hAnsi="Trebuchet MS" w:cs="Segoe UI"/>
          <w:i/>
          <w:color w:val="000000"/>
          <w:lang w:val="en-US" w:eastAsia="nl-BE"/>
        </w:rPr>
      </w:pPr>
      <w:r w:rsidRPr="00835AAE">
        <w:rPr>
          <w:rFonts w:ascii="Trebuchet MS" w:eastAsia="Times New Roman" w:hAnsi="Trebuchet MS" w:cs="Segoe UI"/>
          <w:i/>
          <w:color w:val="000000"/>
          <w:lang w:val="en-US" w:eastAsia="nl-BE"/>
        </w:rPr>
        <w:t>The draft text above describes comprehensively capital requirements under the CRR/CRD IV framework, which includes minimum CET1, AT1 and total capital requirements, capital buffers required by CRD IV, Pillar 2 capital requirements set on a case-by-case basis, and backstop capital measures (Basel I floor and leverage ratio). The EBA is seeking comments on whether all elements of these capital requirements should be considered for the assessment of the loss absorption amount. Do you consider that any of these components of the overall capital requirement (other than the minimum CET1 requirement) are not appropriate indicators of los</w:t>
      </w:r>
      <w:r w:rsidR="00A15798">
        <w:rPr>
          <w:rFonts w:ascii="Trebuchet MS" w:eastAsia="Times New Roman" w:hAnsi="Trebuchet MS" w:cs="Segoe UI"/>
          <w:i/>
          <w:color w:val="000000"/>
          <w:lang w:val="en-US" w:eastAsia="nl-BE"/>
        </w:rPr>
        <w:t>s in resolution, and if so why?</w:t>
      </w:r>
    </w:p>
    <w:p w:rsidR="00905ED8" w:rsidRPr="00835AAE" w:rsidRDefault="00A15798" w:rsidP="00905ED8">
      <w:pPr>
        <w:spacing w:after="0" w:line="240" w:lineRule="auto"/>
        <w:rPr>
          <w:rFonts w:ascii="Trebuchet MS" w:eastAsia="Times New Roman" w:hAnsi="Trebuchet MS" w:cs="Segoe UI"/>
          <w:color w:val="000000"/>
          <w:lang w:val="en-US" w:eastAsia="nl-BE"/>
        </w:rPr>
      </w:pPr>
      <w:r>
        <w:rPr>
          <w:rFonts w:ascii="Trebuchet MS" w:eastAsia="Times New Roman" w:hAnsi="Trebuchet MS" w:cs="Segoe UI"/>
          <w:color w:val="000000"/>
          <w:lang w:val="en-US" w:eastAsia="nl-BE"/>
        </w:rPr>
        <w:t>The Society has no</w:t>
      </w:r>
      <w:r w:rsidR="00905ED8" w:rsidRPr="00835AAE">
        <w:rPr>
          <w:rFonts w:ascii="Trebuchet MS" w:eastAsia="Times New Roman" w:hAnsi="Trebuchet MS" w:cs="Segoe UI"/>
          <w:color w:val="000000"/>
          <w:lang w:val="en-US" w:eastAsia="nl-BE"/>
        </w:rPr>
        <w:t xml:space="preserve"> objection to any component, apart from the leverage ratio</w:t>
      </w:r>
      <w:r>
        <w:rPr>
          <w:rFonts w:ascii="Trebuchet MS" w:eastAsia="Times New Roman" w:hAnsi="Trebuchet MS" w:cs="Segoe UI"/>
          <w:color w:val="000000"/>
          <w:lang w:val="en-US" w:eastAsia="nl-BE"/>
        </w:rPr>
        <w:t>.</w:t>
      </w:r>
    </w:p>
    <w:p w:rsidR="00905ED8" w:rsidRPr="00835AAE" w:rsidRDefault="00905ED8" w:rsidP="00905ED8">
      <w:pPr>
        <w:spacing w:after="0" w:line="240" w:lineRule="auto"/>
        <w:rPr>
          <w:rFonts w:ascii="Trebuchet MS" w:eastAsia="Times New Roman" w:hAnsi="Trebuchet MS" w:cs="Segoe UI"/>
          <w:color w:val="000000"/>
          <w:lang w:val="en-US" w:eastAsia="nl-BE"/>
        </w:rPr>
      </w:pPr>
      <w:r w:rsidRPr="00835AAE">
        <w:rPr>
          <w:rFonts w:ascii="Trebuchet MS" w:eastAsia="Times New Roman" w:hAnsi="Trebuchet MS" w:cs="Segoe UI"/>
          <w:color w:val="000000"/>
          <w:lang w:val="en-US" w:eastAsia="nl-BE"/>
        </w:rPr>
        <w:br/>
      </w:r>
      <w:r w:rsidRPr="00835AAE">
        <w:rPr>
          <w:rFonts w:ascii="Trebuchet MS" w:eastAsia="Times New Roman" w:hAnsi="Trebuchet MS" w:cs="Segoe UI"/>
          <w:i/>
          <w:color w:val="000000"/>
          <w:lang w:val="en-US" w:eastAsia="nl-BE"/>
        </w:rPr>
        <w:t>Question 2</w:t>
      </w:r>
      <w:r w:rsidRPr="00835AAE">
        <w:rPr>
          <w:rFonts w:ascii="Trebuchet MS" w:eastAsia="Times New Roman" w:hAnsi="Trebuchet MS" w:cs="Segoe UI"/>
          <w:color w:val="000000"/>
          <w:lang w:val="en-US" w:eastAsia="nl-BE"/>
        </w:rPr>
        <w:br/>
      </w:r>
      <w:proofErr w:type="gramStart"/>
      <w:r w:rsidRPr="00835AAE">
        <w:rPr>
          <w:rFonts w:ascii="Trebuchet MS" w:eastAsia="Times New Roman" w:hAnsi="Trebuchet MS" w:cs="Segoe UI"/>
          <w:i/>
          <w:color w:val="000000"/>
          <w:lang w:val="en-US" w:eastAsia="nl-BE"/>
        </w:rPr>
        <w:t>Should</w:t>
      </w:r>
      <w:proofErr w:type="gramEnd"/>
      <w:r w:rsidRPr="00835AAE">
        <w:rPr>
          <w:rFonts w:ascii="Trebuchet MS" w:eastAsia="Times New Roman" w:hAnsi="Trebuchet MS" w:cs="Segoe UI"/>
          <w:i/>
          <w:color w:val="000000"/>
          <w:lang w:val="en-US" w:eastAsia="nl-BE"/>
        </w:rPr>
        <w:t xml:space="preserve"> paragraph 5 refer only to the resolution authority increasing the loss absorption amount, rather than adjusting it? Are there specific circumstances under which resolution authorities should allow a smaller need to be able to absorb losses before entry into resolution and in the resolution process than indicated by the capital requirements (for example, due to the use of national discretions in setting capital requirements)?</w:t>
      </w:r>
      <w:r w:rsidRPr="00835AAE">
        <w:rPr>
          <w:rFonts w:ascii="Trebuchet MS" w:eastAsia="Times New Roman" w:hAnsi="Trebuchet MS" w:cs="Segoe UI"/>
          <w:color w:val="000000"/>
          <w:lang w:val="en-US" w:eastAsia="nl-BE"/>
        </w:rPr>
        <w:br/>
        <w:t>YBS disagree</w:t>
      </w:r>
      <w:r w:rsidR="006F2A83">
        <w:rPr>
          <w:rFonts w:ascii="Trebuchet MS" w:eastAsia="Times New Roman" w:hAnsi="Trebuchet MS" w:cs="Segoe UI"/>
          <w:color w:val="000000"/>
          <w:lang w:val="en-US" w:eastAsia="nl-BE"/>
        </w:rPr>
        <w:t>s</w:t>
      </w:r>
      <w:r w:rsidRPr="00835AAE">
        <w:rPr>
          <w:rFonts w:ascii="Trebuchet MS" w:eastAsia="Times New Roman" w:hAnsi="Trebuchet MS" w:cs="Segoe UI"/>
          <w:color w:val="000000"/>
          <w:lang w:val="en-US" w:eastAsia="nl-BE"/>
        </w:rPr>
        <w:t xml:space="preserve"> here, </w:t>
      </w:r>
      <w:r w:rsidR="00A15798">
        <w:rPr>
          <w:rFonts w:ascii="Trebuchet MS" w:eastAsia="Times New Roman" w:hAnsi="Trebuchet MS" w:cs="Segoe UI"/>
          <w:color w:val="000000"/>
          <w:lang w:val="en-US" w:eastAsia="nl-BE"/>
        </w:rPr>
        <w:t xml:space="preserve">and </w:t>
      </w:r>
      <w:r w:rsidRPr="00835AAE">
        <w:rPr>
          <w:rFonts w:ascii="Trebuchet MS" w:eastAsia="Times New Roman" w:hAnsi="Trebuchet MS" w:cs="Segoe UI"/>
          <w:color w:val="000000"/>
          <w:lang w:val="en-US" w:eastAsia="nl-BE"/>
        </w:rPr>
        <w:t xml:space="preserve">the </w:t>
      </w:r>
      <w:r w:rsidR="00A15798">
        <w:rPr>
          <w:rFonts w:ascii="Trebuchet MS" w:eastAsia="Times New Roman" w:hAnsi="Trebuchet MS" w:cs="Segoe UI"/>
          <w:color w:val="000000"/>
          <w:lang w:val="en-US" w:eastAsia="nl-BE"/>
        </w:rPr>
        <w:t>Soc</w:t>
      </w:r>
      <w:r w:rsidR="006F2A83">
        <w:rPr>
          <w:rFonts w:ascii="Trebuchet MS" w:eastAsia="Times New Roman" w:hAnsi="Trebuchet MS" w:cs="Segoe UI"/>
          <w:color w:val="000000"/>
          <w:lang w:val="en-US" w:eastAsia="nl-BE"/>
        </w:rPr>
        <w:t>iety suggests</w:t>
      </w:r>
      <w:r w:rsidR="00A15798">
        <w:rPr>
          <w:rFonts w:ascii="Trebuchet MS" w:eastAsia="Times New Roman" w:hAnsi="Trebuchet MS" w:cs="Segoe UI"/>
          <w:color w:val="000000"/>
          <w:lang w:val="en-US" w:eastAsia="nl-BE"/>
        </w:rPr>
        <w:t xml:space="preserve"> that the </w:t>
      </w:r>
      <w:r w:rsidRPr="00835AAE">
        <w:rPr>
          <w:rFonts w:ascii="Trebuchet MS" w:eastAsia="Times New Roman" w:hAnsi="Trebuchet MS" w:cs="Segoe UI"/>
          <w:color w:val="000000"/>
          <w:lang w:val="en-US" w:eastAsia="nl-BE"/>
        </w:rPr>
        <w:t>text should say “adjust” not “increase”. There may well be circumstances where a reductio</w:t>
      </w:r>
      <w:r w:rsidR="00967393">
        <w:rPr>
          <w:rFonts w:ascii="Trebuchet MS" w:eastAsia="Times New Roman" w:hAnsi="Trebuchet MS" w:cs="Segoe UI"/>
          <w:color w:val="000000"/>
          <w:lang w:val="en-US" w:eastAsia="nl-BE"/>
        </w:rPr>
        <w:t xml:space="preserve">n is appropriate (e.g. due to </w:t>
      </w:r>
      <w:r w:rsidRPr="00835AAE">
        <w:rPr>
          <w:rFonts w:ascii="Trebuchet MS" w:eastAsia="Times New Roman" w:hAnsi="Trebuchet MS" w:cs="Segoe UI"/>
          <w:color w:val="000000"/>
          <w:lang w:val="en-US" w:eastAsia="nl-BE"/>
        </w:rPr>
        <w:t>nation</w:t>
      </w:r>
      <w:r w:rsidR="00A15798">
        <w:rPr>
          <w:rFonts w:ascii="Trebuchet MS" w:eastAsia="Times New Roman" w:hAnsi="Trebuchet MS" w:cs="Segoe UI"/>
          <w:color w:val="000000"/>
          <w:lang w:val="en-US" w:eastAsia="nl-BE"/>
        </w:rPr>
        <w:t>al gold plating under Pillar 2)</w:t>
      </w:r>
      <w:r w:rsidRPr="00835AAE">
        <w:rPr>
          <w:rFonts w:ascii="Trebuchet MS" w:eastAsia="Times New Roman" w:hAnsi="Trebuchet MS" w:cs="Segoe UI"/>
          <w:color w:val="000000"/>
          <w:lang w:val="en-US" w:eastAsia="nl-BE"/>
        </w:rPr>
        <w:t xml:space="preserve">. The drafting should also make clearer that the imposition of a higher </w:t>
      </w:r>
      <w:r w:rsidR="00A15798" w:rsidRPr="00835AAE">
        <w:rPr>
          <w:rFonts w:ascii="Trebuchet MS" w:eastAsia="Times New Roman" w:hAnsi="Trebuchet MS" w:cs="Segoe UI"/>
          <w:color w:val="000000"/>
          <w:lang w:val="en-US" w:eastAsia="nl-BE"/>
        </w:rPr>
        <w:t>amount should</w:t>
      </w:r>
      <w:r w:rsidRPr="00835AAE">
        <w:rPr>
          <w:rFonts w:ascii="Trebuchet MS" w:eastAsia="Times New Roman" w:hAnsi="Trebuchet MS" w:cs="Segoe UI"/>
          <w:color w:val="000000"/>
          <w:lang w:val="en-US" w:eastAsia="nl-BE"/>
        </w:rPr>
        <w:t xml:space="preserve"> be exceptional, not routine.</w:t>
      </w:r>
    </w:p>
    <w:p w:rsidR="00905ED8" w:rsidRPr="00835AAE" w:rsidRDefault="00905ED8" w:rsidP="00905ED8">
      <w:pPr>
        <w:spacing w:after="0" w:line="240" w:lineRule="auto"/>
        <w:rPr>
          <w:rFonts w:ascii="Trebuchet MS" w:eastAsia="Times New Roman" w:hAnsi="Trebuchet MS" w:cs="Segoe UI"/>
          <w:color w:val="000000"/>
          <w:lang w:val="en-US" w:eastAsia="nl-BE"/>
        </w:rPr>
      </w:pPr>
    </w:p>
    <w:p w:rsidR="00905ED8" w:rsidRPr="00835AAE" w:rsidRDefault="00F9371F" w:rsidP="00905ED8">
      <w:pPr>
        <w:rPr>
          <w:rFonts w:ascii="Trebuchet MS" w:eastAsia="Times New Roman" w:hAnsi="Trebuchet MS" w:cs="Segoe UI"/>
          <w:color w:val="000000"/>
          <w:lang w:val="en-US" w:eastAsia="nl-BE"/>
        </w:rPr>
      </w:pPr>
      <w:r w:rsidRPr="00835AAE">
        <w:rPr>
          <w:rFonts w:ascii="Trebuchet MS" w:eastAsia="Times New Roman" w:hAnsi="Trebuchet MS" w:cs="Segoe UI"/>
          <w:i/>
          <w:color w:val="000000"/>
          <w:lang w:val="en-US" w:eastAsia="nl-BE"/>
        </w:rPr>
        <w:t>Qu</w:t>
      </w:r>
      <w:r w:rsidR="00905ED8" w:rsidRPr="00835AAE">
        <w:rPr>
          <w:rFonts w:ascii="Trebuchet MS" w:eastAsia="Times New Roman" w:hAnsi="Trebuchet MS" w:cs="Segoe UI"/>
          <w:i/>
          <w:color w:val="000000"/>
          <w:lang w:val="en-US" w:eastAsia="nl-BE"/>
        </w:rPr>
        <w:t>estion 3</w:t>
      </w:r>
      <w:r w:rsidR="00421981" w:rsidRPr="00835AAE">
        <w:rPr>
          <w:rFonts w:ascii="Trebuchet MS" w:eastAsia="Times New Roman" w:hAnsi="Trebuchet MS" w:cs="Segoe UI"/>
          <w:color w:val="000000"/>
          <w:lang w:val="en-US" w:eastAsia="nl-BE"/>
        </w:rPr>
        <w:br/>
      </w:r>
      <w:proofErr w:type="gramStart"/>
      <w:r w:rsidR="00421981" w:rsidRPr="00835AAE">
        <w:rPr>
          <w:rFonts w:ascii="Trebuchet MS" w:eastAsia="Times New Roman" w:hAnsi="Trebuchet MS" w:cs="Segoe UI"/>
          <w:i/>
          <w:color w:val="000000"/>
          <w:lang w:val="en-US" w:eastAsia="nl-BE"/>
        </w:rPr>
        <w:t>Should</w:t>
      </w:r>
      <w:proofErr w:type="gramEnd"/>
      <w:r w:rsidR="00421981" w:rsidRPr="00835AAE">
        <w:rPr>
          <w:rFonts w:ascii="Trebuchet MS" w:eastAsia="Times New Roman" w:hAnsi="Trebuchet MS" w:cs="Segoe UI"/>
          <w:i/>
          <w:color w:val="000000"/>
          <w:lang w:val="en-US" w:eastAsia="nl-BE"/>
        </w:rPr>
        <w:t xml:space="preserve"> any additional benchmarks be used to assess the necessary degree of loss absorbency? If yes, how should these be defined and how should they be used in combination with the capital requirements benchmark? Should such benchmarks also allow for a decrease of the loss absorption amount compared to the institution’s capital requirements?</w:t>
      </w:r>
      <w:r w:rsidR="00421981" w:rsidRPr="00835AAE">
        <w:rPr>
          <w:rFonts w:ascii="Trebuchet MS" w:eastAsia="Times New Roman" w:hAnsi="Trebuchet MS" w:cs="Segoe UI"/>
          <w:color w:val="000000"/>
          <w:lang w:val="en-US" w:eastAsia="nl-BE"/>
        </w:rPr>
        <w:br/>
      </w:r>
      <w:r w:rsidR="00DC4711">
        <w:rPr>
          <w:rFonts w:ascii="Trebuchet MS" w:eastAsia="Times New Roman" w:hAnsi="Trebuchet MS" w:cs="Segoe UI"/>
          <w:color w:val="000000"/>
          <w:lang w:val="en-US" w:eastAsia="nl-BE"/>
        </w:rPr>
        <w:t xml:space="preserve">The Society </w:t>
      </w:r>
      <w:r w:rsidR="00DB7E53">
        <w:rPr>
          <w:rFonts w:ascii="Trebuchet MS" w:eastAsia="Times New Roman" w:hAnsi="Trebuchet MS" w:cs="Segoe UI"/>
          <w:color w:val="000000"/>
          <w:lang w:val="en-US" w:eastAsia="nl-BE"/>
        </w:rPr>
        <w:t>would question whether</w:t>
      </w:r>
      <w:r w:rsidR="00905ED8" w:rsidRPr="00835AAE">
        <w:rPr>
          <w:rFonts w:ascii="Trebuchet MS" w:eastAsia="Times New Roman" w:hAnsi="Trebuchet MS" w:cs="Segoe UI"/>
          <w:color w:val="000000"/>
          <w:lang w:val="en-US" w:eastAsia="nl-BE"/>
        </w:rPr>
        <w:t xml:space="preserve"> this is </w:t>
      </w:r>
      <w:r w:rsidR="00DB7E53">
        <w:rPr>
          <w:rFonts w:ascii="Trebuchet MS" w:eastAsia="Times New Roman" w:hAnsi="Trebuchet MS" w:cs="Segoe UI"/>
          <w:color w:val="000000"/>
          <w:lang w:val="en-US" w:eastAsia="nl-BE"/>
        </w:rPr>
        <w:t xml:space="preserve">in fact </w:t>
      </w:r>
      <w:r w:rsidR="00905ED8" w:rsidRPr="00835AAE">
        <w:rPr>
          <w:rFonts w:ascii="Trebuchet MS" w:eastAsia="Times New Roman" w:hAnsi="Trebuchet MS" w:cs="Segoe UI"/>
          <w:color w:val="000000"/>
          <w:lang w:val="en-US" w:eastAsia="nl-BE"/>
        </w:rPr>
        <w:t xml:space="preserve">susceptible to benchmarking. The CP established a very important point in the second paragraph on page 9, illustrated very clearly in the Box 1 diagram on page 11, to be given effect in Article </w:t>
      </w:r>
      <w:proofErr w:type="gramStart"/>
      <w:r w:rsidR="00905ED8" w:rsidRPr="00835AAE">
        <w:rPr>
          <w:rFonts w:ascii="Trebuchet MS" w:eastAsia="Times New Roman" w:hAnsi="Trebuchet MS" w:cs="Segoe UI"/>
          <w:color w:val="000000"/>
          <w:lang w:val="en-US" w:eastAsia="nl-BE"/>
        </w:rPr>
        <w:t>3.2 :</w:t>
      </w:r>
      <w:proofErr w:type="gramEnd"/>
      <w:r w:rsidR="00905ED8" w:rsidRPr="00835AAE">
        <w:rPr>
          <w:rFonts w:ascii="Trebuchet MS" w:eastAsia="Times New Roman" w:hAnsi="Trebuchet MS" w:cs="Segoe UI"/>
          <w:color w:val="000000"/>
          <w:lang w:val="en-US" w:eastAsia="nl-BE"/>
        </w:rPr>
        <w:t xml:space="preserve"> if the resolvability assessment concludes that liquidation under normal insolvency processes is feasible, and no alternative preferred resolution strategy is identified, the re</w:t>
      </w:r>
      <w:r w:rsidR="00DB7E53">
        <w:rPr>
          <w:rFonts w:ascii="Trebuchet MS" w:eastAsia="Times New Roman" w:hAnsi="Trebuchet MS" w:cs="Segoe UI"/>
          <w:color w:val="000000"/>
          <w:lang w:val="en-US" w:eastAsia="nl-BE"/>
        </w:rPr>
        <w:t>-</w:t>
      </w:r>
      <w:proofErr w:type="spellStart"/>
      <w:r w:rsidR="00905ED8" w:rsidRPr="00835AAE">
        <w:rPr>
          <w:rFonts w:ascii="Trebuchet MS" w:eastAsia="Times New Roman" w:hAnsi="Trebuchet MS" w:cs="Segoe UI"/>
          <w:color w:val="000000"/>
          <w:lang w:val="en-US" w:eastAsia="nl-BE"/>
        </w:rPr>
        <w:t>capitali</w:t>
      </w:r>
      <w:r w:rsidR="00DB7E53">
        <w:rPr>
          <w:rFonts w:ascii="Trebuchet MS" w:eastAsia="Times New Roman" w:hAnsi="Trebuchet MS" w:cs="Segoe UI"/>
          <w:color w:val="000000"/>
          <w:lang w:val="en-US" w:eastAsia="nl-BE"/>
        </w:rPr>
        <w:t>sation</w:t>
      </w:r>
      <w:proofErr w:type="spellEnd"/>
      <w:r w:rsidR="00DB7E53">
        <w:rPr>
          <w:rFonts w:ascii="Trebuchet MS" w:eastAsia="Times New Roman" w:hAnsi="Trebuchet MS" w:cs="Segoe UI"/>
          <w:color w:val="000000"/>
          <w:lang w:val="en-US" w:eastAsia="nl-BE"/>
        </w:rPr>
        <w:t xml:space="preserve"> amount shall be zero. </w:t>
      </w:r>
      <w:r w:rsidR="00905ED8" w:rsidRPr="00835AAE">
        <w:rPr>
          <w:rFonts w:ascii="Trebuchet MS" w:eastAsia="Times New Roman" w:hAnsi="Trebuchet MS" w:cs="Segoe UI"/>
          <w:color w:val="000000"/>
          <w:lang w:val="en-US" w:eastAsia="nl-BE"/>
        </w:rPr>
        <w:t xml:space="preserve">YBS </w:t>
      </w:r>
      <w:r w:rsidR="00DB7E53">
        <w:rPr>
          <w:rFonts w:ascii="Trebuchet MS" w:eastAsia="Times New Roman" w:hAnsi="Trebuchet MS" w:cs="Segoe UI"/>
          <w:color w:val="000000"/>
          <w:lang w:val="en-US" w:eastAsia="nl-BE"/>
        </w:rPr>
        <w:t xml:space="preserve">would </w:t>
      </w:r>
      <w:r w:rsidR="00905ED8" w:rsidRPr="00835AAE">
        <w:rPr>
          <w:rFonts w:ascii="Trebuchet MS" w:eastAsia="Times New Roman" w:hAnsi="Trebuchet MS" w:cs="Segoe UI"/>
          <w:color w:val="000000"/>
          <w:lang w:val="en-US" w:eastAsia="nl-BE"/>
        </w:rPr>
        <w:t>support</w:t>
      </w:r>
      <w:r w:rsidR="00DB7E53">
        <w:rPr>
          <w:rFonts w:ascii="Trebuchet MS" w:eastAsia="Times New Roman" w:hAnsi="Trebuchet MS" w:cs="Segoe UI"/>
          <w:color w:val="000000"/>
          <w:lang w:val="en-US" w:eastAsia="nl-BE"/>
        </w:rPr>
        <w:t xml:space="preserve"> this. BRRD Article </w:t>
      </w:r>
      <w:r w:rsidR="00905ED8" w:rsidRPr="00835AAE">
        <w:rPr>
          <w:rFonts w:ascii="Trebuchet MS" w:eastAsia="Times New Roman" w:hAnsi="Trebuchet MS" w:cs="Segoe UI"/>
          <w:color w:val="000000"/>
          <w:lang w:val="en-US" w:eastAsia="nl-BE"/>
        </w:rPr>
        <w:t>32.1 (</w:t>
      </w:r>
      <w:proofErr w:type="gramStart"/>
      <w:r w:rsidR="00905ED8" w:rsidRPr="00835AAE">
        <w:rPr>
          <w:rFonts w:ascii="Trebuchet MS" w:eastAsia="Times New Roman" w:hAnsi="Trebuchet MS" w:cs="Segoe UI"/>
          <w:color w:val="000000"/>
          <w:lang w:val="en-US" w:eastAsia="nl-BE"/>
        </w:rPr>
        <w:t>c )</w:t>
      </w:r>
      <w:proofErr w:type="gramEnd"/>
      <w:r w:rsidR="00905ED8" w:rsidRPr="00835AAE">
        <w:rPr>
          <w:rFonts w:ascii="Trebuchet MS" w:eastAsia="Times New Roman" w:hAnsi="Trebuchet MS" w:cs="Segoe UI"/>
          <w:color w:val="000000"/>
          <w:lang w:val="en-US" w:eastAsia="nl-BE"/>
        </w:rPr>
        <w:t xml:space="preserve"> establishes a high public interest threshold for the use of formal resolution tools rather than insolvency procedures, and this must be respected. YBS suggest</w:t>
      </w:r>
      <w:r w:rsidR="006F2A83">
        <w:rPr>
          <w:rFonts w:ascii="Trebuchet MS" w:eastAsia="Times New Roman" w:hAnsi="Trebuchet MS" w:cs="Segoe UI"/>
          <w:color w:val="000000"/>
          <w:lang w:val="en-US" w:eastAsia="nl-BE"/>
        </w:rPr>
        <w:t>s</w:t>
      </w:r>
      <w:r w:rsidR="00905ED8" w:rsidRPr="00835AAE">
        <w:rPr>
          <w:rFonts w:ascii="Trebuchet MS" w:eastAsia="Times New Roman" w:hAnsi="Trebuchet MS" w:cs="Segoe UI"/>
          <w:color w:val="000000"/>
          <w:lang w:val="en-US" w:eastAsia="nl-BE"/>
        </w:rPr>
        <w:t xml:space="preserve"> that attention is drawn to this by a further Recital to underline the point in the context of MRELs.</w:t>
      </w:r>
    </w:p>
    <w:p w:rsidR="00421981" w:rsidRPr="00835AAE" w:rsidRDefault="00421981" w:rsidP="00905ED8">
      <w:pPr>
        <w:spacing w:after="0" w:line="240" w:lineRule="auto"/>
        <w:rPr>
          <w:rFonts w:ascii="Trebuchet MS" w:eastAsia="Times New Roman" w:hAnsi="Trebuchet MS" w:cs="Segoe UI"/>
          <w:color w:val="000000"/>
          <w:lang w:val="en-US" w:eastAsia="nl-BE"/>
        </w:rPr>
      </w:pPr>
    </w:p>
    <w:p w:rsidR="00421981" w:rsidRPr="00835AAE" w:rsidRDefault="00421981" w:rsidP="00421981">
      <w:pPr>
        <w:spacing w:after="0" w:line="240" w:lineRule="auto"/>
        <w:rPr>
          <w:rFonts w:ascii="Trebuchet MS" w:eastAsia="Times New Roman" w:hAnsi="Trebuchet MS" w:cs="Segoe UI"/>
          <w:i/>
          <w:color w:val="000000"/>
          <w:lang w:val="en-US" w:eastAsia="nl-BE"/>
        </w:rPr>
      </w:pPr>
      <w:r w:rsidRPr="00835AAE">
        <w:rPr>
          <w:rFonts w:ascii="Trebuchet MS" w:eastAsia="Times New Roman" w:hAnsi="Trebuchet MS" w:cs="Segoe UI"/>
          <w:i/>
          <w:color w:val="000000"/>
          <w:lang w:val="en-US" w:eastAsia="nl-BE"/>
        </w:rPr>
        <w:t>Question 4</w:t>
      </w:r>
    </w:p>
    <w:p w:rsidR="00421981" w:rsidRPr="00835AAE" w:rsidRDefault="00421981" w:rsidP="00421981">
      <w:pPr>
        <w:spacing w:after="0" w:line="240" w:lineRule="auto"/>
        <w:rPr>
          <w:rFonts w:ascii="Trebuchet MS" w:eastAsia="Times New Roman" w:hAnsi="Trebuchet MS" w:cs="Segoe UI"/>
          <w:i/>
          <w:color w:val="000000"/>
          <w:lang w:val="en-US" w:eastAsia="nl-BE"/>
        </w:rPr>
      </w:pPr>
      <w:r w:rsidRPr="00835AAE">
        <w:rPr>
          <w:rFonts w:ascii="Trebuchet MS" w:eastAsia="Times New Roman" w:hAnsi="Trebuchet MS" w:cs="Segoe UI"/>
          <w:i/>
          <w:color w:val="000000"/>
          <w:lang w:val="en-US" w:eastAsia="nl-BE"/>
        </w:rPr>
        <w:t>Do you consider that any of these components of the overall capital requirement are not appropriate indicators of the capital required after resolution, and if so why?</w:t>
      </w:r>
    </w:p>
    <w:p w:rsidR="00905ED8" w:rsidRPr="00835AAE" w:rsidRDefault="00905ED8" w:rsidP="00905ED8">
      <w:pPr>
        <w:spacing w:after="0" w:line="240" w:lineRule="auto"/>
        <w:rPr>
          <w:rFonts w:ascii="Trebuchet MS" w:eastAsia="Times New Roman" w:hAnsi="Trebuchet MS" w:cs="Segoe UI"/>
          <w:color w:val="000000"/>
          <w:lang w:val="en-US" w:eastAsia="nl-BE"/>
        </w:rPr>
      </w:pPr>
      <w:r w:rsidRPr="00835AAE">
        <w:rPr>
          <w:rFonts w:ascii="Trebuchet MS" w:eastAsia="Times New Roman" w:hAnsi="Trebuchet MS" w:cs="Segoe UI"/>
          <w:color w:val="000000"/>
          <w:lang w:val="en-US" w:eastAsia="nl-BE"/>
        </w:rPr>
        <w:t xml:space="preserve">The Society would submit to exclude the leverage ratio, for reasons given above. Also exclude the combined buffer, as that is not a minimum requirement, but a buffer. </w:t>
      </w:r>
      <w:r w:rsidR="00DB7E53">
        <w:rPr>
          <w:rFonts w:ascii="Trebuchet MS" w:eastAsia="Times New Roman" w:hAnsi="Trebuchet MS" w:cs="Segoe UI"/>
          <w:color w:val="000000"/>
          <w:lang w:val="en-US" w:eastAsia="nl-BE"/>
        </w:rPr>
        <w:t xml:space="preserve">In terms of the </w:t>
      </w:r>
      <w:r w:rsidRPr="00835AAE">
        <w:rPr>
          <w:rFonts w:ascii="Trebuchet MS" w:eastAsia="Times New Roman" w:hAnsi="Trebuchet MS" w:cs="Segoe UI"/>
          <w:color w:val="000000"/>
          <w:lang w:val="en-US" w:eastAsia="nl-BE"/>
        </w:rPr>
        <w:t>F</w:t>
      </w:r>
      <w:r w:rsidR="00DB7E53">
        <w:rPr>
          <w:rFonts w:ascii="Trebuchet MS" w:eastAsia="Times New Roman" w:hAnsi="Trebuchet MS" w:cs="Segoe UI"/>
          <w:color w:val="000000"/>
          <w:lang w:val="en-US" w:eastAsia="nl-BE"/>
        </w:rPr>
        <w:t xml:space="preserve">inancial </w:t>
      </w:r>
      <w:r w:rsidRPr="00835AAE">
        <w:rPr>
          <w:rFonts w:ascii="Trebuchet MS" w:eastAsia="Times New Roman" w:hAnsi="Trebuchet MS" w:cs="Segoe UI"/>
          <w:color w:val="000000"/>
          <w:lang w:val="en-US" w:eastAsia="nl-BE"/>
        </w:rPr>
        <w:t>S</w:t>
      </w:r>
      <w:r w:rsidR="00DB7E53">
        <w:rPr>
          <w:rFonts w:ascii="Trebuchet MS" w:eastAsia="Times New Roman" w:hAnsi="Trebuchet MS" w:cs="Segoe UI"/>
          <w:color w:val="000000"/>
          <w:lang w:val="en-US" w:eastAsia="nl-BE"/>
        </w:rPr>
        <w:t xml:space="preserve">tability </w:t>
      </w:r>
      <w:r w:rsidRPr="00835AAE">
        <w:rPr>
          <w:rFonts w:ascii="Trebuchet MS" w:eastAsia="Times New Roman" w:hAnsi="Trebuchet MS" w:cs="Segoe UI"/>
          <w:color w:val="000000"/>
          <w:lang w:val="en-US" w:eastAsia="nl-BE"/>
        </w:rPr>
        <w:t>B</w:t>
      </w:r>
      <w:r w:rsidR="00DB7E53">
        <w:rPr>
          <w:rFonts w:ascii="Trebuchet MS" w:eastAsia="Times New Roman" w:hAnsi="Trebuchet MS" w:cs="Segoe UI"/>
          <w:color w:val="000000"/>
          <w:lang w:val="en-US" w:eastAsia="nl-BE"/>
        </w:rPr>
        <w:t xml:space="preserve">oard, the </w:t>
      </w:r>
      <w:r w:rsidRPr="00835AAE">
        <w:rPr>
          <w:rFonts w:ascii="Trebuchet MS" w:eastAsia="Times New Roman" w:hAnsi="Trebuchet MS" w:cs="Segoe UI"/>
          <w:color w:val="000000"/>
          <w:lang w:val="en-US" w:eastAsia="nl-BE"/>
        </w:rPr>
        <w:t>TLAC approach excludes buffer.</w:t>
      </w:r>
    </w:p>
    <w:p w:rsidR="00905ED8" w:rsidRPr="00835AAE" w:rsidRDefault="00905ED8" w:rsidP="00905ED8">
      <w:pPr>
        <w:spacing w:after="0" w:line="240" w:lineRule="auto"/>
        <w:rPr>
          <w:rFonts w:ascii="Trebuchet MS" w:eastAsia="Times New Roman" w:hAnsi="Trebuchet MS" w:cs="Segoe UI"/>
          <w:color w:val="000000"/>
          <w:lang w:val="en-US" w:eastAsia="nl-BE"/>
        </w:rPr>
      </w:pPr>
    </w:p>
    <w:p w:rsidR="00421981" w:rsidRPr="00835AAE" w:rsidRDefault="00421981" w:rsidP="00421981">
      <w:pPr>
        <w:spacing w:after="0" w:line="240" w:lineRule="auto"/>
        <w:rPr>
          <w:rFonts w:ascii="Trebuchet MS" w:eastAsia="Times New Roman" w:hAnsi="Trebuchet MS" w:cs="Segoe UI"/>
          <w:i/>
          <w:color w:val="000000"/>
          <w:lang w:val="en-US" w:eastAsia="nl-BE"/>
        </w:rPr>
      </w:pPr>
      <w:r w:rsidRPr="00835AAE">
        <w:rPr>
          <w:rFonts w:ascii="Trebuchet MS" w:eastAsia="Times New Roman" w:hAnsi="Trebuchet MS" w:cs="Segoe UI"/>
          <w:i/>
          <w:color w:val="000000"/>
          <w:lang w:val="en-US" w:eastAsia="nl-BE"/>
        </w:rPr>
        <w:t>Question 5</w:t>
      </w:r>
    </w:p>
    <w:p w:rsidR="00421981" w:rsidRPr="00835AAE" w:rsidRDefault="00421981" w:rsidP="00421981">
      <w:pPr>
        <w:spacing w:after="0" w:line="240" w:lineRule="auto"/>
        <w:rPr>
          <w:rFonts w:ascii="Trebuchet MS" w:eastAsia="Times New Roman" w:hAnsi="Trebuchet MS" w:cs="Segoe UI"/>
          <w:i/>
          <w:color w:val="000000"/>
          <w:lang w:val="en-US" w:eastAsia="nl-BE"/>
        </w:rPr>
      </w:pPr>
      <w:r w:rsidRPr="00835AAE">
        <w:rPr>
          <w:rFonts w:ascii="Trebuchet MS" w:eastAsia="Times New Roman" w:hAnsi="Trebuchet MS" w:cs="Segoe UI"/>
          <w:i/>
          <w:color w:val="000000"/>
          <w:lang w:val="en-US" w:eastAsia="nl-BE"/>
        </w:rPr>
        <w:t>Is it appropriate to have a single peer group of G-SIIs, or should this be subdivided by the level of the G-SII capital buffer?</w:t>
      </w:r>
    </w:p>
    <w:p w:rsidR="00421981" w:rsidRPr="00DB7E53" w:rsidRDefault="00421981" w:rsidP="00421981">
      <w:pPr>
        <w:spacing w:after="0" w:line="240" w:lineRule="auto"/>
        <w:rPr>
          <w:rFonts w:ascii="Trebuchet MS" w:eastAsia="Times New Roman" w:hAnsi="Trebuchet MS" w:cs="Segoe UI"/>
          <w:i/>
          <w:color w:val="000000"/>
          <w:lang w:val="en-US" w:eastAsia="nl-BE"/>
        </w:rPr>
      </w:pPr>
      <w:r w:rsidRPr="00DB7E53">
        <w:rPr>
          <w:rFonts w:ascii="Trebuchet MS" w:eastAsia="Times New Roman" w:hAnsi="Trebuchet MS" w:cs="Segoe UI"/>
          <w:i/>
          <w:color w:val="000000"/>
          <w:lang w:val="en-US" w:eastAsia="nl-BE"/>
        </w:rPr>
        <w:t>Should the peer group approach be extended to Other Systemically Important Institutions (O-SIIs), at the option of resolution authorities? If yes, would the appropriate peer group be the group of O-SIIs established in the same jurisdiction?</w:t>
      </w:r>
    </w:p>
    <w:p w:rsidR="00421981" w:rsidRPr="00DB7E53" w:rsidRDefault="00421981" w:rsidP="00421981">
      <w:pPr>
        <w:spacing w:after="0" w:line="240" w:lineRule="auto"/>
        <w:rPr>
          <w:rFonts w:ascii="Trebuchet MS" w:eastAsia="Times New Roman" w:hAnsi="Trebuchet MS" w:cs="Segoe UI"/>
          <w:i/>
          <w:color w:val="000000"/>
          <w:lang w:val="en-US" w:eastAsia="nl-BE"/>
        </w:rPr>
      </w:pPr>
      <w:r w:rsidRPr="00DB7E53">
        <w:rPr>
          <w:rFonts w:ascii="Trebuchet MS" w:eastAsia="Times New Roman" w:hAnsi="Trebuchet MS" w:cs="Segoe UI"/>
          <w:i/>
          <w:color w:val="000000"/>
          <w:lang w:val="en-US" w:eastAsia="nl-BE"/>
        </w:rPr>
        <w:t>Should the peer group approach be further extended to other types of institution?</w:t>
      </w:r>
    </w:p>
    <w:p w:rsidR="00421981" w:rsidRPr="00835AAE" w:rsidRDefault="00421981" w:rsidP="00421981">
      <w:pPr>
        <w:spacing w:after="0" w:line="240" w:lineRule="auto"/>
        <w:rPr>
          <w:rFonts w:ascii="Trebuchet MS" w:eastAsia="Times New Roman" w:hAnsi="Trebuchet MS" w:cs="Segoe UI"/>
          <w:i/>
          <w:color w:val="000000"/>
          <w:lang w:val="en-US" w:eastAsia="nl-BE"/>
        </w:rPr>
      </w:pPr>
      <w:r w:rsidRPr="00835AAE">
        <w:rPr>
          <w:rFonts w:ascii="Trebuchet MS" w:eastAsia="Times New Roman" w:hAnsi="Trebuchet MS" w:cs="Segoe UI"/>
          <w:i/>
          <w:color w:val="000000"/>
          <w:lang w:val="en-US" w:eastAsia="nl-BE"/>
        </w:rPr>
        <w:t>Question 6</w:t>
      </w:r>
    </w:p>
    <w:p w:rsidR="00421981" w:rsidRPr="00835AAE" w:rsidRDefault="00421981" w:rsidP="00421981">
      <w:pPr>
        <w:spacing w:after="0" w:line="240" w:lineRule="auto"/>
        <w:rPr>
          <w:rFonts w:ascii="Trebuchet MS" w:eastAsia="Times New Roman" w:hAnsi="Trebuchet MS" w:cs="Segoe UI"/>
          <w:i/>
          <w:color w:val="000000"/>
          <w:lang w:val="en-US" w:eastAsia="nl-BE"/>
        </w:rPr>
      </w:pPr>
      <w:r w:rsidRPr="00835AAE">
        <w:rPr>
          <w:rFonts w:ascii="Trebuchet MS" w:eastAsia="Times New Roman" w:hAnsi="Trebuchet MS" w:cs="Segoe UI"/>
          <w:i/>
          <w:color w:val="000000"/>
          <w:lang w:val="en-US" w:eastAsia="nl-BE"/>
        </w:rPr>
        <w:t>The approach outlined in Articles 2 and 3 will reflect differences between consolidated and subsidiary capital requirements. Are there additional ways in which specific features of subsidiaries within a banking group should be reflected?</w:t>
      </w:r>
    </w:p>
    <w:p w:rsidR="00905ED8" w:rsidRPr="00835AAE" w:rsidRDefault="00905ED8" w:rsidP="00905ED8">
      <w:pPr>
        <w:spacing w:after="0" w:line="240" w:lineRule="auto"/>
        <w:rPr>
          <w:rFonts w:ascii="Trebuchet MS" w:eastAsia="Times New Roman" w:hAnsi="Trebuchet MS" w:cs="Segoe UI"/>
          <w:color w:val="000000"/>
          <w:lang w:val="en-US" w:eastAsia="nl-BE"/>
        </w:rPr>
      </w:pPr>
      <w:r w:rsidRPr="00835AAE">
        <w:rPr>
          <w:rFonts w:ascii="Trebuchet MS" w:eastAsia="Times New Roman" w:hAnsi="Trebuchet MS" w:cs="Segoe UI"/>
          <w:color w:val="000000"/>
          <w:lang w:val="en-US" w:eastAsia="nl-BE"/>
        </w:rPr>
        <w:t xml:space="preserve">This is not relevant to building societies. However, BRRD does not envisage </w:t>
      </w:r>
      <w:proofErr w:type="spellStart"/>
      <w:r w:rsidRPr="00835AAE">
        <w:rPr>
          <w:rFonts w:ascii="Trebuchet MS" w:eastAsia="Times New Roman" w:hAnsi="Trebuchet MS" w:cs="Segoe UI"/>
          <w:color w:val="000000"/>
          <w:lang w:val="en-US" w:eastAsia="nl-BE"/>
        </w:rPr>
        <w:t>recapitalisation</w:t>
      </w:r>
      <w:proofErr w:type="spellEnd"/>
      <w:r w:rsidRPr="00835AAE">
        <w:rPr>
          <w:rFonts w:ascii="Trebuchet MS" w:eastAsia="Times New Roman" w:hAnsi="Trebuchet MS" w:cs="Segoe UI"/>
          <w:color w:val="000000"/>
          <w:lang w:val="en-US" w:eastAsia="nl-BE"/>
        </w:rPr>
        <w:t xml:space="preserve"> to full ex-ante status.</w:t>
      </w:r>
    </w:p>
    <w:p w:rsidR="00905ED8" w:rsidRPr="00835AAE" w:rsidRDefault="00905ED8" w:rsidP="00905ED8">
      <w:pPr>
        <w:spacing w:after="0" w:line="240" w:lineRule="auto"/>
        <w:rPr>
          <w:rFonts w:ascii="Trebuchet MS" w:eastAsia="Times New Roman" w:hAnsi="Trebuchet MS" w:cs="Segoe UI"/>
          <w:color w:val="000000"/>
          <w:lang w:val="en-US" w:eastAsia="nl-BE"/>
        </w:rPr>
      </w:pPr>
    </w:p>
    <w:p w:rsidR="00421981" w:rsidRPr="00835AAE" w:rsidRDefault="00421981" w:rsidP="00421981">
      <w:pPr>
        <w:pStyle w:val="Default"/>
        <w:rPr>
          <w:rFonts w:ascii="Trebuchet MS" w:hAnsi="Trebuchet MS"/>
          <w:i/>
          <w:sz w:val="22"/>
          <w:szCs w:val="22"/>
        </w:rPr>
      </w:pPr>
      <w:r w:rsidRPr="00835AAE">
        <w:rPr>
          <w:rFonts w:ascii="Trebuchet MS" w:hAnsi="Trebuchet MS"/>
          <w:bCs/>
          <w:i/>
          <w:sz w:val="22"/>
          <w:szCs w:val="22"/>
        </w:rPr>
        <w:t xml:space="preserve">Question 7 </w:t>
      </w:r>
    </w:p>
    <w:p w:rsidR="00905ED8" w:rsidRPr="00835AAE" w:rsidRDefault="00421981" w:rsidP="00421981">
      <w:pPr>
        <w:spacing w:after="0" w:line="240" w:lineRule="auto"/>
        <w:rPr>
          <w:rFonts w:ascii="Trebuchet MS" w:eastAsia="Times New Roman" w:hAnsi="Trebuchet MS" w:cs="Segoe UI"/>
          <w:color w:val="000000"/>
          <w:lang w:val="en-US" w:eastAsia="nl-BE"/>
        </w:rPr>
      </w:pPr>
      <w:r w:rsidRPr="00835AAE">
        <w:rPr>
          <w:rFonts w:ascii="Trebuchet MS" w:hAnsi="Trebuchet MS"/>
          <w:i/>
        </w:rPr>
        <w:t xml:space="preserve">Do you agree that there should be a </w:t>
      </w:r>
      <w:r w:rsidRPr="00835AAE">
        <w:rPr>
          <w:rFonts w:ascii="Trebuchet MS" w:hAnsi="Trebuchet MS"/>
          <w:i/>
          <w:iCs/>
        </w:rPr>
        <w:t xml:space="preserve">de minimis </w:t>
      </w:r>
      <w:r w:rsidRPr="00835AAE">
        <w:rPr>
          <w:rFonts w:ascii="Trebuchet MS" w:hAnsi="Trebuchet MS"/>
          <w:i/>
        </w:rPr>
        <w:t xml:space="preserve">derogation from this provision for excluded liabilities which account for less than 10% of a given insolvency class? </w:t>
      </w:r>
      <w:r w:rsidR="009A147A" w:rsidRPr="00835AAE">
        <w:rPr>
          <w:rFonts w:ascii="Trebuchet MS" w:hAnsi="Trebuchet MS"/>
          <w:i/>
        </w:rPr>
        <w:br/>
      </w:r>
      <w:r w:rsidR="00A32360">
        <w:rPr>
          <w:rFonts w:ascii="Trebuchet MS" w:eastAsia="Times New Roman" w:hAnsi="Trebuchet MS" w:cs="Segoe UI"/>
          <w:color w:val="000000"/>
          <w:lang w:val="en-US" w:eastAsia="nl-BE"/>
        </w:rPr>
        <w:t xml:space="preserve">YBS would support this approach. </w:t>
      </w:r>
    </w:p>
    <w:p w:rsidR="00905ED8" w:rsidRPr="00835AAE" w:rsidRDefault="00905ED8" w:rsidP="00905ED8">
      <w:pPr>
        <w:spacing w:after="0" w:line="240" w:lineRule="auto"/>
        <w:rPr>
          <w:rFonts w:ascii="Trebuchet MS" w:eastAsia="Times New Roman" w:hAnsi="Trebuchet MS" w:cs="Segoe UI"/>
          <w:color w:val="000000"/>
          <w:lang w:val="en-US" w:eastAsia="nl-BE"/>
        </w:rPr>
      </w:pPr>
    </w:p>
    <w:p w:rsidR="009A147A" w:rsidRPr="00890D8E" w:rsidRDefault="009A147A" w:rsidP="009A147A">
      <w:pPr>
        <w:spacing w:after="0" w:line="240" w:lineRule="auto"/>
        <w:rPr>
          <w:rFonts w:ascii="Trebuchet MS" w:eastAsia="Times New Roman" w:hAnsi="Trebuchet MS" w:cs="Segoe UI"/>
          <w:i/>
          <w:color w:val="000000"/>
          <w:lang w:val="en-US" w:eastAsia="nl-BE"/>
        </w:rPr>
      </w:pPr>
      <w:r w:rsidRPr="00890D8E">
        <w:rPr>
          <w:rFonts w:ascii="Trebuchet MS" w:eastAsia="Times New Roman" w:hAnsi="Trebuchet MS" w:cs="Segoe UI"/>
          <w:i/>
          <w:color w:val="000000"/>
          <w:lang w:val="en-US" w:eastAsia="nl-BE"/>
        </w:rPr>
        <w:t>Question 8</w:t>
      </w:r>
    </w:p>
    <w:p w:rsidR="00905ED8" w:rsidRDefault="009A147A" w:rsidP="009A147A">
      <w:pPr>
        <w:spacing w:after="0" w:line="240" w:lineRule="auto"/>
        <w:rPr>
          <w:rFonts w:ascii="Trebuchet MS" w:eastAsia="Times New Roman" w:hAnsi="Trebuchet MS" w:cs="Segoe UI"/>
          <w:i/>
          <w:color w:val="000000"/>
          <w:lang w:val="en-US" w:eastAsia="nl-BE"/>
        </w:rPr>
      </w:pPr>
      <w:r w:rsidRPr="00890D8E">
        <w:rPr>
          <w:rFonts w:ascii="Trebuchet MS" w:eastAsia="Times New Roman" w:hAnsi="Trebuchet MS" w:cs="Segoe UI"/>
          <w:i/>
          <w:color w:val="000000"/>
          <w:lang w:val="en-US" w:eastAsia="nl-BE"/>
        </w:rPr>
        <w:t>Do you agree that resolution authorities should seek to ensure that systemic institutions have sufficient MREL to make it possible to access resolution funds for the full range of financing purposes specified in the BRRD?</w:t>
      </w:r>
    </w:p>
    <w:p w:rsidR="00890D8E" w:rsidRPr="00890D8E" w:rsidRDefault="00A32360" w:rsidP="009A147A">
      <w:pPr>
        <w:spacing w:after="0" w:line="240" w:lineRule="auto"/>
        <w:rPr>
          <w:rFonts w:ascii="Trebuchet MS" w:eastAsia="Times New Roman" w:hAnsi="Trebuchet MS" w:cs="Segoe UI"/>
          <w:color w:val="000000"/>
          <w:lang w:val="en-US" w:eastAsia="nl-BE"/>
        </w:rPr>
      </w:pPr>
      <w:r>
        <w:rPr>
          <w:rFonts w:ascii="Trebuchet MS" w:eastAsia="Times New Roman" w:hAnsi="Trebuchet MS" w:cs="Segoe UI"/>
          <w:color w:val="000000"/>
          <w:lang w:val="en-US" w:eastAsia="nl-BE"/>
        </w:rPr>
        <w:t xml:space="preserve">YBS agrees with this proposal. </w:t>
      </w:r>
    </w:p>
    <w:p w:rsidR="00905ED8" w:rsidRPr="00835AAE" w:rsidRDefault="00905ED8" w:rsidP="00905ED8">
      <w:pPr>
        <w:spacing w:after="0" w:line="240" w:lineRule="auto"/>
        <w:rPr>
          <w:rFonts w:ascii="Trebuchet MS" w:eastAsia="Times New Roman" w:hAnsi="Trebuchet MS" w:cs="Segoe UI"/>
          <w:color w:val="000000"/>
          <w:lang w:val="en-US" w:eastAsia="nl-BE"/>
        </w:rPr>
      </w:pPr>
    </w:p>
    <w:p w:rsidR="009A147A" w:rsidRPr="00890D8E" w:rsidRDefault="009A147A" w:rsidP="009A147A">
      <w:pPr>
        <w:pStyle w:val="Default"/>
        <w:rPr>
          <w:rFonts w:ascii="Trebuchet MS" w:hAnsi="Trebuchet MS"/>
          <w:i/>
          <w:sz w:val="22"/>
          <w:szCs w:val="22"/>
        </w:rPr>
      </w:pPr>
      <w:r w:rsidRPr="00890D8E">
        <w:rPr>
          <w:rFonts w:ascii="Trebuchet MS" w:hAnsi="Trebuchet MS"/>
          <w:bCs/>
          <w:i/>
          <w:sz w:val="22"/>
          <w:szCs w:val="22"/>
        </w:rPr>
        <w:t xml:space="preserve">Question 9: </w:t>
      </w:r>
    </w:p>
    <w:p w:rsidR="009A147A" w:rsidRPr="00890D8E" w:rsidRDefault="009A147A" w:rsidP="009A147A">
      <w:pPr>
        <w:spacing w:after="0" w:line="240" w:lineRule="auto"/>
        <w:rPr>
          <w:rFonts w:ascii="Trebuchet MS" w:eastAsia="Times New Roman" w:hAnsi="Trebuchet MS" w:cs="Segoe UI"/>
          <w:i/>
          <w:color w:val="000000"/>
          <w:lang w:val="en-US" w:eastAsia="nl-BE"/>
        </w:rPr>
      </w:pPr>
      <w:r w:rsidRPr="00890D8E">
        <w:rPr>
          <w:rFonts w:ascii="Trebuchet MS" w:hAnsi="Trebuchet MS"/>
          <w:i/>
        </w:rPr>
        <w:t>Is this limit on the transition period appropriate?</w:t>
      </w:r>
    </w:p>
    <w:p w:rsidR="00905ED8" w:rsidRPr="00835AAE" w:rsidRDefault="00905ED8" w:rsidP="00905ED8">
      <w:pPr>
        <w:spacing w:after="0" w:line="240" w:lineRule="auto"/>
        <w:rPr>
          <w:rFonts w:ascii="Trebuchet MS" w:eastAsia="Times New Roman" w:hAnsi="Trebuchet MS" w:cs="Segoe UI"/>
          <w:color w:val="000000"/>
          <w:lang w:val="en-US" w:eastAsia="nl-BE"/>
        </w:rPr>
      </w:pPr>
      <w:r w:rsidRPr="00835AAE">
        <w:rPr>
          <w:rFonts w:ascii="Trebuchet MS" w:eastAsia="Times New Roman" w:hAnsi="Trebuchet MS" w:cs="Segoe UI"/>
          <w:color w:val="000000"/>
          <w:lang w:val="en-US" w:eastAsia="nl-BE"/>
        </w:rPr>
        <w:t>YBS opposes this, and would suggest six years in its place. The early part of that period will overlap with the build up to Basel 3 end point, so not sensible to concentrate demands to issue risk-bearing instruments for several pu</w:t>
      </w:r>
      <w:r w:rsidR="00A32360">
        <w:rPr>
          <w:rFonts w:ascii="Trebuchet MS" w:eastAsia="Times New Roman" w:hAnsi="Trebuchet MS" w:cs="Segoe UI"/>
          <w:color w:val="000000"/>
          <w:lang w:val="en-US" w:eastAsia="nl-BE"/>
        </w:rPr>
        <w:t xml:space="preserve">rposes in that </w:t>
      </w:r>
      <w:r w:rsidRPr="00835AAE">
        <w:rPr>
          <w:rFonts w:ascii="Trebuchet MS" w:eastAsia="Times New Roman" w:hAnsi="Trebuchet MS" w:cs="Segoe UI"/>
          <w:color w:val="000000"/>
          <w:lang w:val="en-US" w:eastAsia="nl-BE"/>
        </w:rPr>
        <w:t xml:space="preserve">narrow </w:t>
      </w:r>
      <w:proofErr w:type="gramStart"/>
      <w:r w:rsidRPr="00835AAE">
        <w:rPr>
          <w:rFonts w:ascii="Trebuchet MS" w:eastAsia="Times New Roman" w:hAnsi="Trebuchet MS" w:cs="Segoe UI"/>
          <w:color w:val="000000"/>
          <w:lang w:val="en-US" w:eastAsia="nl-BE"/>
        </w:rPr>
        <w:t>window,</w:t>
      </w:r>
      <w:proofErr w:type="gramEnd"/>
      <w:r w:rsidRPr="00835AAE">
        <w:rPr>
          <w:rFonts w:ascii="Trebuchet MS" w:eastAsia="Times New Roman" w:hAnsi="Trebuchet MS" w:cs="Segoe UI"/>
          <w:color w:val="000000"/>
          <w:lang w:val="en-US" w:eastAsia="nl-BE"/>
        </w:rPr>
        <w:t xml:space="preserve"> otherwise market capacity may be insufficient.</w:t>
      </w:r>
    </w:p>
    <w:p w:rsidR="00905ED8" w:rsidRPr="00835AAE" w:rsidRDefault="00905ED8" w:rsidP="00905ED8">
      <w:pPr>
        <w:spacing w:after="0" w:line="240" w:lineRule="auto"/>
        <w:rPr>
          <w:rFonts w:ascii="Trebuchet MS" w:eastAsia="Times New Roman" w:hAnsi="Trebuchet MS" w:cs="Segoe UI"/>
          <w:color w:val="000000"/>
          <w:lang w:val="en-US" w:eastAsia="nl-BE"/>
        </w:rPr>
      </w:pPr>
    </w:p>
    <w:p w:rsidR="009A147A" w:rsidRPr="00890D8E" w:rsidRDefault="009A147A" w:rsidP="009A147A">
      <w:pPr>
        <w:pStyle w:val="Default"/>
        <w:rPr>
          <w:rFonts w:ascii="Trebuchet MS" w:hAnsi="Trebuchet MS"/>
          <w:i/>
          <w:sz w:val="22"/>
          <w:szCs w:val="22"/>
        </w:rPr>
      </w:pPr>
      <w:r w:rsidRPr="00890D8E">
        <w:rPr>
          <w:rFonts w:ascii="Trebuchet MS" w:hAnsi="Trebuchet MS"/>
          <w:bCs/>
          <w:i/>
          <w:sz w:val="22"/>
          <w:szCs w:val="22"/>
        </w:rPr>
        <w:t xml:space="preserve">Question 10: </w:t>
      </w:r>
    </w:p>
    <w:p w:rsidR="00905ED8" w:rsidRPr="00835AAE" w:rsidRDefault="009A147A" w:rsidP="009A147A">
      <w:pPr>
        <w:spacing w:after="0" w:line="240" w:lineRule="auto"/>
        <w:rPr>
          <w:rFonts w:ascii="Trebuchet MS" w:eastAsia="Times New Roman" w:hAnsi="Trebuchet MS" w:cs="Segoe UI"/>
          <w:color w:val="000000"/>
          <w:lang w:val="en-US" w:eastAsia="nl-BE"/>
        </w:rPr>
      </w:pPr>
      <w:r w:rsidRPr="00890D8E">
        <w:rPr>
          <w:rFonts w:ascii="Trebuchet MS" w:hAnsi="Trebuchet MS"/>
          <w:i/>
        </w:rPr>
        <w:t>Should the resolution authority also set a transitional period for the MREL of banks which are undergoing or have undergone a resolution process?</w:t>
      </w:r>
      <w:r w:rsidRPr="00835AAE">
        <w:rPr>
          <w:rFonts w:ascii="Trebuchet MS" w:hAnsi="Trebuchet MS"/>
        </w:rPr>
        <w:t xml:space="preserve"> </w:t>
      </w:r>
      <w:r w:rsidRPr="00835AAE">
        <w:rPr>
          <w:rFonts w:ascii="Trebuchet MS" w:hAnsi="Trebuchet MS"/>
        </w:rPr>
        <w:br/>
      </w:r>
      <w:r w:rsidR="00A32360">
        <w:rPr>
          <w:rFonts w:ascii="Trebuchet MS" w:eastAsia="Times New Roman" w:hAnsi="Trebuchet MS" w:cs="Segoe UI"/>
          <w:color w:val="000000"/>
          <w:lang w:val="en-US" w:eastAsia="nl-BE"/>
        </w:rPr>
        <w:t xml:space="preserve">The Society agrees with this proposal. </w:t>
      </w:r>
    </w:p>
    <w:p w:rsidR="00905ED8" w:rsidRPr="00835AAE" w:rsidRDefault="00905ED8" w:rsidP="00905ED8">
      <w:pPr>
        <w:spacing w:after="0" w:line="240" w:lineRule="auto"/>
        <w:rPr>
          <w:rFonts w:ascii="Trebuchet MS" w:eastAsia="Times New Roman" w:hAnsi="Trebuchet MS" w:cs="Segoe UI"/>
          <w:color w:val="000000"/>
          <w:lang w:val="en-US" w:eastAsia="nl-BE"/>
        </w:rPr>
      </w:pPr>
    </w:p>
    <w:p w:rsidR="009A147A" w:rsidRPr="00890D8E" w:rsidRDefault="009A147A" w:rsidP="009A147A">
      <w:pPr>
        <w:pStyle w:val="Default"/>
        <w:rPr>
          <w:rFonts w:ascii="Trebuchet MS" w:hAnsi="Trebuchet MS"/>
          <w:i/>
          <w:sz w:val="22"/>
          <w:szCs w:val="22"/>
        </w:rPr>
      </w:pPr>
      <w:r w:rsidRPr="00890D8E">
        <w:rPr>
          <w:rFonts w:ascii="Trebuchet MS" w:hAnsi="Trebuchet MS"/>
          <w:bCs/>
          <w:i/>
          <w:sz w:val="22"/>
          <w:szCs w:val="22"/>
        </w:rPr>
        <w:t xml:space="preserve">Question 11: </w:t>
      </w:r>
    </w:p>
    <w:p w:rsidR="009A147A" w:rsidRPr="00890D8E" w:rsidRDefault="009A147A" w:rsidP="009A147A">
      <w:pPr>
        <w:spacing w:after="0" w:line="240" w:lineRule="auto"/>
        <w:rPr>
          <w:rFonts w:ascii="Trebuchet MS" w:hAnsi="Trebuchet MS"/>
          <w:i/>
        </w:rPr>
      </w:pPr>
      <w:r w:rsidRPr="00890D8E">
        <w:rPr>
          <w:rFonts w:ascii="Trebuchet MS" w:hAnsi="Trebuchet MS"/>
          <w:i/>
        </w:rPr>
        <w:t>Overall, do you consider that the draft RTS strikes the appropriate balance between the need to adapt the MREL to the circumstances of individual institutions and promoting consistency in the setting of adequate levels of MREL across resolution authorities?</w:t>
      </w:r>
    </w:p>
    <w:p w:rsidR="00905ED8" w:rsidRPr="00835AAE" w:rsidRDefault="00A32360" w:rsidP="009A147A">
      <w:pPr>
        <w:spacing w:after="0" w:line="240" w:lineRule="auto"/>
        <w:rPr>
          <w:rFonts w:ascii="Trebuchet MS" w:eastAsia="Times New Roman" w:hAnsi="Trebuchet MS" w:cs="Segoe UI"/>
          <w:color w:val="000000"/>
          <w:lang w:val="en-US" w:eastAsia="nl-BE"/>
        </w:rPr>
      </w:pPr>
      <w:r>
        <w:rPr>
          <w:rFonts w:ascii="Trebuchet MS" w:eastAsia="Times New Roman" w:hAnsi="Trebuchet MS" w:cs="Segoe UI"/>
          <w:color w:val="000000"/>
          <w:lang w:val="en-US" w:eastAsia="nl-BE"/>
        </w:rPr>
        <w:t xml:space="preserve">The Society feels the </w:t>
      </w:r>
      <w:r w:rsidR="006F2A83">
        <w:rPr>
          <w:rFonts w:ascii="Trebuchet MS" w:eastAsia="Times New Roman" w:hAnsi="Trebuchet MS" w:cs="Segoe UI"/>
          <w:color w:val="000000"/>
          <w:lang w:val="en-US" w:eastAsia="nl-BE"/>
        </w:rPr>
        <w:t xml:space="preserve">correct </w:t>
      </w:r>
      <w:r>
        <w:rPr>
          <w:rFonts w:ascii="Trebuchet MS" w:eastAsia="Times New Roman" w:hAnsi="Trebuchet MS" w:cs="Segoe UI"/>
          <w:color w:val="000000"/>
          <w:lang w:val="en-US" w:eastAsia="nl-BE"/>
        </w:rPr>
        <w:t>b</w:t>
      </w:r>
      <w:r w:rsidR="006F2A83">
        <w:rPr>
          <w:rFonts w:ascii="Trebuchet MS" w:eastAsia="Times New Roman" w:hAnsi="Trebuchet MS" w:cs="Segoe UI"/>
          <w:color w:val="000000"/>
          <w:lang w:val="en-US" w:eastAsia="nl-BE"/>
        </w:rPr>
        <w:t>alance has broadly been struck</w:t>
      </w:r>
      <w:r>
        <w:rPr>
          <w:rFonts w:ascii="Trebuchet MS" w:eastAsia="Times New Roman" w:hAnsi="Trebuchet MS" w:cs="Segoe UI"/>
          <w:color w:val="000000"/>
          <w:lang w:val="en-US" w:eastAsia="nl-BE"/>
        </w:rPr>
        <w:t xml:space="preserve">. </w:t>
      </w:r>
    </w:p>
    <w:p w:rsidR="00905ED8" w:rsidRPr="00835AAE" w:rsidRDefault="00905ED8" w:rsidP="00905ED8">
      <w:pPr>
        <w:spacing w:after="0" w:line="240" w:lineRule="auto"/>
        <w:rPr>
          <w:rFonts w:ascii="Trebuchet MS" w:eastAsia="Times New Roman" w:hAnsi="Trebuchet MS" w:cs="Segoe UI"/>
          <w:color w:val="000000"/>
          <w:lang w:val="en-US" w:eastAsia="nl-BE"/>
        </w:rPr>
      </w:pPr>
      <w:bookmarkStart w:id="0" w:name="_GoBack"/>
      <w:bookmarkEnd w:id="0"/>
    </w:p>
    <w:p w:rsidR="00835AAE" w:rsidRPr="00890D8E" w:rsidRDefault="00835AAE" w:rsidP="00835AAE">
      <w:pPr>
        <w:pStyle w:val="Default"/>
        <w:rPr>
          <w:rFonts w:ascii="Trebuchet MS" w:hAnsi="Trebuchet MS"/>
          <w:i/>
          <w:sz w:val="22"/>
          <w:szCs w:val="22"/>
        </w:rPr>
      </w:pPr>
      <w:r w:rsidRPr="00890D8E">
        <w:rPr>
          <w:rFonts w:ascii="Trebuchet MS" w:hAnsi="Trebuchet MS"/>
          <w:bCs/>
          <w:i/>
          <w:sz w:val="22"/>
          <w:szCs w:val="22"/>
        </w:rPr>
        <w:t xml:space="preserve">Question 12: </w:t>
      </w:r>
    </w:p>
    <w:p w:rsidR="00C048EF" w:rsidRPr="00BA26DE" w:rsidRDefault="00835AAE" w:rsidP="00835AAE">
      <w:pPr>
        <w:spacing w:after="0" w:line="240" w:lineRule="auto"/>
        <w:rPr>
          <w:rFonts w:ascii="Trebuchet MS" w:eastAsia="Times New Roman" w:hAnsi="Trebuchet MS" w:cs="Segoe UI"/>
          <w:color w:val="000000"/>
          <w:lang w:val="en-US" w:eastAsia="nl-BE"/>
        </w:rPr>
      </w:pPr>
      <w:r w:rsidRPr="00890D8E">
        <w:rPr>
          <w:rFonts w:ascii="Trebuchet MS" w:hAnsi="Trebuchet MS"/>
          <w:i/>
        </w:rPr>
        <w:lastRenderedPageBreak/>
        <w:t>Are there additional issues, not identified in this section, which should be considered in the final impact assessment?</w:t>
      </w:r>
      <w:r w:rsidRPr="00835AAE">
        <w:rPr>
          <w:rFonts w:ascii="Trebuchet MS" w:hAnsi="Trebuchet MS"/>
        </w:rPr>
        <w:t xml:space="preserve"> </w:t>
      </w:r>
      <w:r w:rsidRPr="00835AAE">
        <w:rPr>
          <w:rFonts w:ascii="Trebuchet MS" w:hAnsi="Trebuchet MS"/>
        </w:rPr>
        <w:br/>
      </w:r>
      <w:r w:rsidR="006F2A83">
        <w:rPr>
          <w:rFonts w:ascii="Trebuchet MS" w:eastAsia="Times New Roman" w:hAnsi="Trebuchet MS" w:cs="Segoe UI"/>
          <w:color w:val="000000"/>
          <w:lang w:val="en-US" w:eastAsia="nl-BE"/>
        </w:rPr>
        <w:t xml:space="preserve">YBS does not have anything additional to add. </w:t>
      </w:r>
    </w:p>
    <w:sectPr w:rsidR="00C048EF" w:rsidRPr="00BA26DE" w:rsidSect="009174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48" w:rsidRDefault="003D4B48">
      <w:pPr>
        <w:spacing w:after="0" w:line="240" w:lineRule="auto"/>
      </w:pPr>
      <w:r>
        <w:separator/>
      </w:r>
    </w:p>
  </w:endnote>
  <w:endnote w:type="continuationSeparator" w:id="0">
    <w:p w:rsidR="003D4B48" w:rsidRDefault="003D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YBSG Headline">
    <w:panose1 w:val="04030805020B02020A02"/>
    <w:charset w:val="00"/>
    <w:family w:val="decorative"/>
    <w:pitch w:val="variable"/>
    <w:sig w:usb0="A00000EF" w:usb1="5000205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48" w:rsidRDefault="003D4B48">
      <w:pPr>
        <w:spacing w:after="0" w:line="240" w:lineRule="auto"/>
      </w:pPr>
      <w:r>
        <w:separator/>
      </w:r>
    </w:p>
  </w:footnote>
  <w:footnote w:type="continuationSeparator" w:id="0">
    <w:p w:rsidR="003D4B48" w:rsidRDefault="003D4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86" w:rsidRDefault="00217024">
    <w:pPr>
      <w:pStyle w:val="Header"/>
    </w:pPr>
    <w:r>
      <w:rPr>
        <w:noProof/>
        <w:lang w:eastAsia="nl-BE"/>
      </w:rPr>
      <w:t xml:space="preserve">                                                                                   </w:t>
    </w:r>
    <w:r w:rsidR="00BA26DE">
      <w:rPr>
        <w:noProof/>
        <w:lang w:eastAsia="nl-BE"/>
      </w:rPr>
      <w:tab/>
    </w:r>
    <w:r w:rsidR="00BA26DE">
      <w:rPr>
        <w:noProof/>
        <w:lang w:eastAsia="nl-BE"/>
      </w:rPr>
      <w:tab/>
    </w:r>
    <w:r>
      <w:rPr>
        <w:noProof/>
        <w:lang w:eastAsia="nl-BE"/>
      </w:rPr>
      <w:t xml:space="preserve">                        </w:t>
    </w:r>
    <w:r w:rsidR="00BA26DE">
      <w:rPr>
        <w:noProof/>
        <w:lang w:val="en-GB" w:eastAsia="en-GB"/>
      </w:rPr>
      <w:drawing>
        <wp:inline distT="0" distB="0" distL="0" distR="0" wp14:anchorId="6F209492" wp14:editId="4FF09D73">
          <wp:extent cx="1438275" cy="676275"/>
          <wp:effectExtent l="0" t="0" r="9525" b="9525"/>
          <wp:docPr id="2" name="Picture 2" descr="http://www.designweek.co.uk/Pictures/web/z/o/p/YB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designweek.co.uk/Pictures/web/z/o/p/YBS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64A3"/>
    <w:multiLevelType w:val="hybridMultilevel"/>
    <w:tmpl w:val="3A7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735E1"/>
    <w:multiLevelType w:val="hybridMultilevel"/>
    <w:tmpl w:val="8166A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BF30D26"/>
    <w:multiLevelType w:val="hybridMultilevel"/>
    <w:tmpl w:val="5794477A"/>
    <w:lvl w:ilvl="0" w:tplc="8B4A2074">
      <w:numFmt w:val="bullet"/>
      <w:lvlText w:val="-"/>
      <w:lvlJc w:val="left"/>
      <w:pPr>
        <w:ind w:left="1080" w:hanging="360"/>
      </w:pPr>
      <w:rPr>
        <w:rFonts w:ascii="Calibri" w:eastAsia="Times New Roman" w:hAnsi="Calibr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E8713F2"/>
    <w:multiLevelType w:val="hybridMultilevel"/>
    <w:tmpl w:val="FEF6B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93388D"/>
    <w:multiLevelType w:val="hybridMultilevel"/>
    <w:tmpl w:val="118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81"/>
    <w:rsid w:val="00135625"/>
    <w:rsid w:val="00172EB4"/>
    <w:rsid w:val="00217024"/>
    <w:rsid w:val="002A74F3"/>
    <w:rsid w:val="002E167E"/>
    <w:rsid w:val="00361A88"/>
    <w:rsid w:val="003D4B48"/>
    <w:rsid w:val="00421981"/>
    <w:rsid w:val="004E4C10"/>
    <w:rsid w:val="005B663B"/>
    <w:rsid w:val="005C279D"/>
    <w:rsid w:val="0060712B"/>
    <w:rsid w:val="006F2A83"/>
    <w:rsid w:val="0073754B"/>
    <w:rsid w:val="00766FB9"/>
    <w:rsid w:val="008014A7"/>
    <w:rsid w:val="00835AAE"/>
    <w:rsid w:val="00850EF0"/>
    <w:rsid w:val="00890D8E"/>
    <w:rsid w:val="00905ED8"/>
    <w:rsid w:val="00967393"/>
    <w:rsid w:val="009A147A"/>
    <w:rsid w:val="00A15798"/>
    <w:rsid w:val="00A32360"/>
    <w:rsid w:val="00A76F81"/>
    <w:rsid w:val="00B07C5B"/>
    <w:rsid w:val="00BA26DE"/>
    <w:rsid w:val="00C048EF"/>
    <w:rsid w:val="00D0594D"/>
    <w:rsid w:val="00DA6D7F"/>
    <w:rsid w:val="00DB7E53"/>
    <w:rsid w:val="00DC4711"/>
    <w:rsid w:val="00E35876"/>
    <w:rsid w:val="00ED24C8"/>
    <w:rsid w:val="00F74A92"/>
    <w:rsid w:val="00F9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1"/>
    <w:rPr>
      <w:rFonts w:ascii="Calibri" w:eastAsia="Calibri"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F81"/>
    <w:rPr>
      <w:rFonts w:ascii="Calibri" w:eastAsia="Calibri" w:hAnsi="Calibri" w:cs="Times New Roman"/>
      <w:lang w:val="nl-BE"/>
    </w:rPr>
  </w:style>
  <w:style w:type="paragraph" w:styleId="BalloonText">
    <w:name w:val="Balloon Text"/>
    <w:basedOn w:val="Normal"/>
    <w:link w:val="BalloonTextChar"/>
    <w:uiPriority w:val="99"/>
    <w:semiHidden/>
    <w:unhideWhenUsed/>
    <w:rsid w:val="00A76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81"/>
    <w:rPr>
      <w:rFonts w:ascii="Tahoma" w:eastAsia="Calibri" w:hAnsi="Tahoma" w:cs="Tahoma"/>
      <w:sz w:val="16"/>
      <w:szCs w:val="16"/>
      <w:lang w:val="nl-BE"/>
    </w:rPr>
  </w:style>
  <w:style w:type="paragraph" w:styleId="ListParagraph">
    <w:name w:val="List Paragraph"/>
    <w:basedOn w:val="Normal"/>
    <w:uiPriority w:val="34"/>
    <w:qFormat/>
    <w:rsid w:val="00C048EF"/>
    <w:pPr>
      <w:ind w:left="720"/>
      <w:contextualSpacing/>
    </w:pPr>
  </w:style>
  <w:style w:type="paragraph" w:styleId="Footer">
    <w:name w:val="footer"/>
    <w:basedOn w:val="Normal"/>
    <w:link w:val="FooterChar"/>
    <w:uiPriority w:val="99"/>
    <w:unhideWhenUsed/>
    <w:rsid w:val="00BA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6DE"/>
    <w:rPr>
      <w:rFonts w:ascii="Calibri" w:eastAsia="Calibri" w:hAnsi="Calibri" w:cs="Times New Roman"/>
      <w:lang w:val="nl-BE"/>
    </w:rPr>
  </w:style>
  <w:style w:type="paragraph" w:customStyle="1" w:styleId="Default">
    <w:name w:val="Default"/>
    <w:rsid w:val="0042198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1"/>
    <w:rPr>
      <w:rFonts w:ascii="Calibri" w:eastAsia="Calibri"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F81"/>
    <w:rPr>
      <w:rFonts w:ascii="Calibri" w:eastAsia="Calibri" w:hAnsi="Calibri" w:cs="Times New Roman"/>
      <w:lang w:val="nl-BE"/>
    </w:rPr>
  </w:style>
  <w:style w:type="paragraph" w:styleId="BalloonText">
    <w:name w:val="Balloon Text"/>
    <w:basedOn w:val="Normal"/>
    <w:link w:val="BalloonTextChar"/>
    <w:uiPriority w:val="99"/>
    <w:semiHidden/>
    <w:unhideWhenUsed/>
    <w:rsid w:val="00A76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81"/>
    <w:rPr>
      <w:rFonts w:ascii="Tahoma" w:eastAsia="Calibri" w:hAnsi="Tahoma" w:cs="Tahoma"/>
      <w:sz w:val="16"/>
      <w:szCs w:val="16"/>
      <w:lang w:val="nl-BE"/>
    </w:rPr>
  </w:style>
  <w:style w:type="paragraph" w:styleId="ListParagraph">
    <w:name w:val="List Paragraph"/>
    <w:basedOn w:val="Normal"/>
    <w:uiPriority w:val="34"/>
    <w:qFormat/>
    <w:rsid w:val="00C048EF"/>
    <w:pPr>
      <w:ind w:left="720"/>
      <w:contextualSpacing/>
    </w:pPr>
  </w:style>
  <w:style w:type="paragraph" w:styleId="Footer">
    <w:name w:val="footer"/>
    <w:basedOn w:val="Normal"/>
    <w:link w:val="FooterChar"/>
    <w:uiPriority w:val="99"/>
    <w:unhideWhenUsed/>
    <w:rsid w:val="00BA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6DE"/>
    <w:rPr>
      <w:rFonts w:ascii="Calibri" w:eastAsia="Calibri" w:hAnsi="Calibri" w:cs="Times New Roman"/>
      <w:lang w:val="nl-BE"/>
    </w:rPr>
  </w:style>
  <w:style w:type="paragraph" w:customStyle="1" w:styleId="Default">
    <w:name w:val="Default"/>
    <w:rsid w:val="004219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2075">
      <w:bodyDiv w:val="1"/>
      <w:marLeft w:val="0"/>
      <w:marRight w:val="0"/>
      <w:marTop w:val="0"/>
      <w:marBottom w:val="0"/>
      <w:divBdr>
        <w:top w:val="none" w:sz="0" w:space="0" w:color="auto"/>
        <w:left w:val="none" w:sz="0" w:space="0" w:color="auto"/>
        <w:bottom w:val="none" w:sz="0" w:space="0" w:color="auto"/>
        <w:right w:val="none" w:sz="0" w:space="0" w:color="auto"/>
      </w:divBdr>
      <w:divsChild>
        <w:div w:id="572399557">
          <w:marLeft w:val="0"/>
          <w:marRight w:val="0"/>
          <w:marTop w:val="0"/>
          <w:marBottom w:val="0"/>
          <w:divBdr>
            <w:top w:val="none" w:sz="0" w:space="0" w:color="auto"/>
            <w:left w:val="none" w:sz="0" w:space="0" w:color="auto"/>
            <w:bottom w:val="none" w:sz="0" w:space="0" w:color="auto"/>
            <w:right w:val="none" w:sz="0" w:space="0" w:color="auto"/>
          </w:divBdr>
        </w:div>
        <w:div w:id="1424036518">
          <w:marLeft w:val="0"/>
          <w:marRight w:val="0"/>
          <w:marTop w:val="0"/>
          <w:marBottom w:val="0"/>
          <w:divBdr>
            <w:top w:val="none" w:sz="0" w:space="0" w:color="auto"/>
            <w:left w:val="none" w:sz="0" w:space="0" w:color="auto"/>
            <w:bottom w:val="none" w:sz="0" w:space="0" w:color="auto"/>
            <w:right w:val="none" w:sz="0" w:space="0" w:color="auto"/>
          </w:divBdr>
        </w:div>
        <w:div w:id="1738624701">
          <w:marLeft w:val="0"/>
          <w:marRight w:val="0"/>
          <w:marTop w:val="0"/>
          <w:marBottom w:val="0"/>
          <w:divBdr>
            <w:top w:val="none" w:sz="0" w:space="0" w:color="auto"/>
            <w:left w:val="none" w:sz="0" w:space="0" w:color="auto"/>
            <w:bottom w:val="none" w:sz="0" w:space="0" w:color="auto"/>
            <w:right w:val="none" w:sz="0" w:space="0" w:color="auto"/>
          </w:divBdr>
        </w:div>
        <w:div w:id="1460033221">
          <w:marLeft w:val="0"/>
          <w:marRight w:val="0"/>
          <w:marTop w:val="0"/>
          <w:marBottom w:val="0"/>
          <w:divBdr>
            <w:top w:val="none" w:sz="0" w:space="0" w:color="auto"/>
            <w:left w:val="none" w:sz="0" w:space="0" w:color="auto"/>
            <w:bottom w:val="none" w:sz="0" w:space="0" w:color="auto"/>
            <w:right w:val="none" w:sz="0" w:space="0" w:color="auto"/>
          </w:divBdr>
        </w:div>
        <w:div w:id="1769691455">
          <w:marLeft w:val="0"/>
          <w:marRight w:val="0"/>
          <w:marTop w:val="0"/>
          <w:marBottom w:val="0"/>
          <w:divBdr>
            <w:top w:val="none" w:sz="0" w:space="0" w:color="auto"/>
            <w:left w:val="none" w:sz="0" w:space="0" w:color="auto"/>
            <w:bottom w:val="none" w:sz="0" w:space="0" w:color="auto"/>
            <w:right w:val="none" w:sz="0" w:space="0" w:color="auto"/>
          </w:divBdr>
        </w:div>
        <w:div w:id="1679230563">
          <w:marLeft w:val="0"/>
          <w:marRight w:val="0"/>
          <w:marTop w:val="0"/>
          <w:marBottom w:val="0"/>
          <w:divBdr>
            <w:top w:val="none" w:sz="0" w:space="0" w:color="auto"/>
            <w:left w:val="none" w:sz="0" w:space="0" w:color="auto"/>
            <w:bottom w:val="none" w:sz="0" w:space="0" w:color="auto"/>
            <w:right w:val="none" w:sz="0" w:space="0" w:color="auto"/>
          </w:divBdr>
        </w:div>
        <w:div w:id="2899133">
          <w:marLeft w:val="0"/>
          <w:marRight w:val="0"/>
          <w:marTop w:val="0"/>
          <w:marBottom w:val="0"/>
          <w:divBdr>
            <w:top w:val="none" w:sz="0" w:space="0" w:color="auto"/>
            <w:left w:val="none" w:sz="0" w:space="0" w:color="auto"/>
            <w:bottom w:val="none" w:sz="0" w:space="0" w:color="auto"/>
            <w:right w:val="none" w:sz="0" w:space="0" w:color="auto"/>
          </w:divBdr>
        </w:div>
      </w:divsChild>
    </w:div>
    <w:div w:id="16247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Aertsens</dc:creator>
  <cp:lastModifiedBy>Henri Murison</cp:lastModifiedBy>
  <cp:revision>2</cp:revision>
  <cp:lastPrinted>2015-02-27T13:50:00Z</cp:lastPrinted>
  <dcterms:created xsi:type="dcterms:W3CDTF">2015-02-27T14:57:00Z</dcterms:created>
  <dcterms:modified xsi:type="dcterms:W3CDTF">2015-02-27T14:57:00Z</dcterms:modified>
</cp:coreProperties>
</file>