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58F9C" w14:textId="77777777" w:rsidR="008660E6" w:rsidRPr="00F70C05" w:rsidRDefault="008660E6" w:rsidP="008660E6">
      <w:pPr>
        <w:suppressAutoHyphens w:val="0"/>
        <w:spacing w:after="0"/>
        <w:rPr>
          <w:rFonts w:eastAsia="Times New Roman" w:cs="Times New Roman"/>
          <w:color w:val="3F4B79"/>
          <w:sz w:val="18"/>
          <w:szCs w:val="22"/>
          <w:lang w:val="el-GR"/>
        </w:rPr>
      </w:pPr>
    </w:p>
    <w:p w14:paraId="299317DC" w14:textId="77777777" w:rsidR="008660E6" w:rsidRDefault="008660E6" w:rsidP="008660E6">
      <w:pPr>
        <w:suppressAutoHyphens w:val="0"/>
        <w:spacing w:after="0"/>
        <w:rPr>
          <w:rFonts w:eastAsia="Times New Roman" w:cs="Times New Roman"/>
          <w:color w:val="3F4B79"/>
          <w:sz w:val="18"/>
          <w:szCs w:val="22"/>
        </w:rPr>
      </w:pPr>
    </w:p>
    <w:p w14:paraId="0B0711A4" w14:textId="44942BAC" w:rsidR="008660E6" w:rsidRDefault="00991C18" w:rsidP="008660E6">
      <w:pPr>
        <w:suppressAutoHyphens w:val="0"/>
        <w:spacing w:after="0"/>
        <w:rPr>
          <w:rFonts w:eastAsia="Times New Roman" w:cs="Times New Roman"/>
          <w:color w:val="3F4B79"/>
          <w:sz w:val="18"/>
          <w:szCs w:val="22"/>
        </w:rPr>
      </w:pPr>
      <w:r>
        <w:rPr>
          <w:rFonts w:eastAsia="Times New Roman" w:cs="Times New Roman"/>
          <w:color w:val="3F4B79"/>
          <w:sz w:val="18"/>
          <w:szCs w:val="22"/>
        </w:rPr>
        <w:t>1</w:t>
      </w:r>
      <w:r w:rsidR="00990DB3">
        <w:rPr>
          <w:rFonts w:eastAsia="Times New Roman" w:cs="Times New Roman"/>
          <w:color w:val="3F4B79"/>
          <w:sz w:val="18"/>
          <w:szCs w:val="22"/>
        </w:rPr>
        <w:t>6</w:t>
      </w:r>
      <w:r>
        <w:rPr>
          <w:rFonts w:eastAsia="Times New Roman" w:cs="Times New Roman"/>
          <w:color w:val="3F4B79"/>
          <w:sz w:val="18"/>
          <w:szCs w:val="22"/>
        </w:rPr>
        <w:t xml:space="preserve"> </w:t>
      </w:r>
      <w:r w:rsidR="00896C68">
        <w:rPr>
          <w:rFonts w:eastAsia="Times New Roman" w:cs="Times New Roman"/>
          <w:color w:val="3F4B79"/>
          <w:sz w:val="18"/>
          <w:szCs w:val="22"/>
        </w:rPr>
        <w:t xml:space="preserve">April </w:t>
      </w:r>
      <w:r w:rsidR="00225F4F">
        <w:rPr>
          <w:rFonts w:eastAsia="Times New Roman" w:cs="Times New Roman"/>
          <w:color w:val="3F4B79"/>
          <w:sz w:val="18"/>
          <w:szCs w:val="22"/>
        </w:rPr>
        <w:t>2024</w:t>
      </w:r>
    </w:p>
    <w:p w14:paraId="57B4B397" w14:textId="5CCC2681" w:rsidR="00E37DB1" w:rsidRDefault="00470845" w:rsidP="00E37DB1">
      <w:pPr>
        <w:suppressAutoHyphens w:val="0"/>
        <w:spacing w:after="0"/>
        <w:rPr>
          <w:rFonts w:eastAsia="Times New Roman" w:cs="Times New Roman"/>
          <w:color w:val="3F4B79"/>
          <w:sz w:val="18"/>
          <w:szCs w:val="22"/>
        </w:rPr>
      </w:pPr>
      <w:r>
        <w:rPr>
          <w:rFonts w:eastAsia="Times New Roman" w:cs="Times New Roman"/>
          <w:color w:val="3F4B79"/>
          <w:sz w:val="18"/>
          <w:szCs w:val="22"/>
        </w:rPr>
        <w:t>EBF</w:t>
      </w:r>
      <w:r w:rsidR="009B0814">
        <w:rPr>
          <w:rFonts w:eastAsia="Times New Roman" w:cs="Times New Roman"/>
          <w:color w:val="3F4B79"/>
          <w:sz w:val="18"/>
          <w:szCs w:val="22"/>
        </w:rPr>
        <w:t>_046458</w:t>
      </w:r>
    </w:p>
    <w:p w14:paraId="0D5F3924" w14:textId="77777777" w:rsidR="00E37DB1" w:rsidRDefault="00E37DB1" w:rsidP="00E37DB1">
      <w:pPr>
        <w:suppressAutoHyphens w:val="0"/>
        <w:spacing w:after="0"/>
        <w:rPr>
          <w:rFonts w:ascii="Verdana-Bold" w:eastAsia="Calibri" w:hAnsi="Verdana-Bold" w:cs="Verdana-Bold"/>
          <w:b/>
          <w:bCs/>
          <w:color w:val="0A77A8"/>
          <w:sz w:val="34"/>
          <w:szCs w:val="34"/>
        </w:rPr>
      </w:pPr>
    </w:p>
    <w:p w14:paraId="36FA8223" w14:textId="77777777" w:rsidR="00133EFD" w:rsidRDefault="00133EFD" w:rsidP="008660E6">
      <w:pPr>
        <w:widowControl w:val="0"/>
        <w:suppressAutoHyphens w:val="0"/>
        <w:autoSpaceDE w:val="0"/>
        <w:autoSpaceDN w:val="0"/>
        <w:adjustRightInd w:val="0"/>
        <w:spacing w:after="0" w:line="300" w:lineRule="atLeast"/>
        <w:jc w:val="left"/>
        <w:textAlignment w:val="center"/>
        <w:outlineLvl w:val="0"/>
        <w:rPr>
          <w:rFonts w:ascii="Verdana-Bold" w:eastAsia="Calibri" w:hAnsi="Verdana-Bold" w:cs="Verdana-Bold"/>
          <w:b/>
          <w:bCs/>
          <w:color w:val="0A77A8"/>
          <w:sz w:val="34"/>
          <w:szCs w:val="34"/>
        </w:rPr>
      </w:pPr>
    </w:p>
    <w:p w14:paraId="2DDC1F60" w14:textId="77777777" w:rsidR="008660E6" w:rsidRDefault="008660E6" w:rsidP="008660E6">
      <w:pPr>
        <w:widowControl w:val="0"/>
        <w:suppressAutoHyphens w:val="0"/>
        <w:autoSpaceDE w:val="0"/>
        <w:autoSpaceDN w:val="0"/>
        <w:adjustRightInd w:val="0"/>
        <w:spacing w:after="0" w:line="300" w:lineRule="atLeast"/>
        <w:jc w:val="left"/>
        <w:textAlignment w:val="center"/>
        <w:outlineLvl w:val="0"/>
        <w:rPr>
          <w:rFonts w:ascii="Verdana-Bold" w:eastAsia="Calibri" w:hAnsi="Verdana-Bold" w:cs="Verdana-Bold"/>
          <w:b/>
          <w:bCs/>
          <w:color w:val="0A77A8"/>
          <w:sz w:val="34"/>
          <w:szCs w:val="34"/>
        </w:rPr>
      </w:pPr>
    </w:p>
    <w:p w14:paraId="071E0BFF" w14:textId="77777777" w:rsidR="00990DB3" w:rsidRPr="003A05B9" w:rsidRDefault="00990DB3" w:rsidP="008660E6">
      <w:pPr>
        <w:widowControl w:val="0"/>
        <w:suppressAutoHyphens w:val="0"/>
        <w:autoSpaceDE w:val="0"/>
        <w:autoSpaceDN w:val="0"/>
        <w:adjustRightInd w:val="0"/>
        <w:spacing w:after="0" w:line="300" w:lineRule="atLeast"/>
        <w:jc w:val="left"/>
        <w:textAlignment w:val="center"/>
        <w:outlineLvl w:val="0"/>
        <w:rPr>
          <w:rFonts w:ascii="Verdana-Bold" w:eastAsia="Calibri" w:hAnsi="Verdana-Bold" w:cs="Verdana-Bold"/>
          <w:b/>
          <w:bCs/>
          <w:color w:val="0A77A8"/>
          <w:sz w:val="34"/>
          <w:szCs w:val="34"/>
        </w:rPr>
      </w:pPr>
    </w:p>
    <w:p w14:paraId="1659B6C8" w14:textId="77777777" w:rsidR="00005724" w:rsidRDefault="00005724" w:rsidP="000866F1">
      <w:pPr>
        <w:tabs>
          <w:tab w:val="left" w:pos="2127"/>
        </w:tabs>
        <w:spacing w:after="0"/>
        <w:outlineLvl w:val="0"/>
        <w:rPr>
          <w:rFonts w:ascii="Verdana-Bold" w:eastAsia="Calibri" w:hAnsi="Verdana-Bold" w:cs="Verdana-Bold"/>
          <w:b/>
          <w:bCs/>
          <w:color w:val="0A77A8"/>
          <w:sz w:val="30"/>
          <w:szCs w:val="30"/>
        </w:rPr>
      </w:pPr>
    </w:p>
    <w:p w14:paraId="7B9ADBD3" w14:textId="5A0F3A17" w:rsidR="00005724" w:rsidRPr="00225F4F" w:rsidRDefault="00225F4F" w:rsidP="009D0891">
      <w:pPr>
        <w:tabs>
          <w:tab w:val="left" w:pos="2127"/>
        </w:tabs>
        <w:spacing w:after="0"/>
        <w:outlineLvl w:val="0"/>
        <w:rPr>
          <w:rFonts w:ascii="Verdana-Bold" w:eastAsia="Calibri" w:hAnsi="Verdana-Bold" w:cs="Verdana-Bold"/>
          <w:b/>
          <w:bCs/>
          <w:color w:val="0A77A8"/>
          <w:sz w:val="28"/>
          <w:szCs w:val="28"/>
        </w:rPr>
      </w:pPr>
      <w:r w:rsidRPr="00225F4F">
        <w:rPr>
          <w:rFonts w:ascii="Verdana-Bold" w:eastAsia="Calibri" w:hAnsi="Verdana-Bold" w:cs="Verdana-Bold"/>
          <w:b/>
          <w:bCs/>
          <w:color w:val="0A77A8"/>
          <w:sz w:val="28"/>
          <w:szCs w:val="28"/>
        </w:rPr>
        <w:t>EBF response to the EBA Consultation on Prudent Valuation Framework.</w:t>
      </w:r>
    </w:p>
    <w:p w14:paraId="1E40443A" w14:textId="02BB30D6" w:rsidR="00F85D20" w:rsidRDefault="00F061F2" w:rsidP="00F54D29">
      <w:pPr>
        <w:tabs>
          <w:tab w:val="left" w:pos="2127"/>
        </w:tabs>
        <w:spacing w:before="120" w:after="0"/>
        <w:outlineLvl w:val="0"/>
        <w:rPr>
          <w:rFonts w:eastAsia="Calibri" w:cs="Times New Roman"/>
          <w:color w:val="3F4B79"/>
          <w:sz w:val="18"/>
          <w:lang w:val="en-US"/>
        </w:rPr>
      </w:pPr>
      <w:r>
        <w:rPr>
          <w:rFonts w:eastAsia="Calibri" w:cs="Times New Roman"/>
          <w:color w:val="3F4B79"/>
          <w:sz w:val="18"/>
          <w:lang w:val="en-US"/>
        </w:rPr>
        <w:tab/>
      </w:r>
      <w:r w:rsidR="00643537">
        <w:rPr>
          <w:rFonts w:eastAsia="Calibri" w:cs="Times New Roman"/>
          <w:color w:val="3F4B79"/>
          <w:sz w:val="18"/>
          <w:lang w:val="en-US"/>
        </w:rPr>
        <w:t xml:space="preserve"> </w:t>
      </w:r>
      <w:r w:rsidR="00F85D20">
        <w:rPr>
          <w:rFonts w:eastAsia="Calibri" w:cs="Times New Roman"/>
          <w:b/>
          <w:color w:val="4288C8"/>
          <w:sz w:val="18"/>
          <w:lang w:val="en-US"/>
        </w:rPr>
        <w:tab/>
      </w:r>
    </w:p>
    <w:p w14:paraId="534025D9" w14:textId="77777777" w:rsidR="0039030A" w:rsidRDefault="0039030A" w:rsidP="0039030A">
      <w:pPr>
        <w:tabs>
          <w:tab w:val="left" w:pos="2127"/>
        </w:tabs>
        <w:spacing w:after="0"/>
        <w:ind w:left="2126" w:hanging="2126"/>
        <w:jc w:val="left"/>
        <w:outlineLvl w:val="0"/>
        <w:rPr>
          <w:rFonts w:eastAsia="Calibri" w:cs="Times New Roman"/>
          <w:b/>
          <w:color w:val="4288C8"/>
          <w:szCs w:val="28"/>
        </w:rPr>
      </w:pPr>
    </w:p>
    <w:p w14:paraId="05EEDA96" w14:textId="19A38A7B" w:rsidR="00F54D29" w:rsidRPr="00F54D29" w:rsidRDefault="00F54D29" w:rsidP="00F54D29">
      <w:pPr>
        <w:tabs>
          <w:tab w:val="left" w:pos="2127"/>
        </w:tabs>
        <w:spacing w:after="0"/>
        <w:outlineLvl w:val="0"/>
        <w:rPr>
          <w:rFonts w:eastAsia="Calibri" w:cs="Times New Roman"/>
          <w:b/>
          <w:color w:val="4288C8"/>
          <w:szCs w:val="28"/>
        </w:rPr>
      </w:pPr>
      <w:r w:rsidRPr="00F54D29">
        <w:rPr>
          <w:rFonts w:eastAsia="Calibri" w:cs="Times New Roman"/>
          <w:b/>
          <w:color w:val="4288C8"/>
          <w:szCs w:val="28"/>
        </w:rPr>
        <w:t>Q</w:t>
      </w:r>
      <w:r w:rsidR="008864B0">
        <w:rPr>
          <w:rFonts w:eastAsia="Calibri" w:cs="Times New Roman"/>
          <w:b/>
          <w:color w:val="4288C8"/>
          <w:szCs w:val="28"/>
        </w:rPr>
        <w:t xml:space="preserve">uestion </w:t>
      </w:r>
      <w:r w:rsidRPr="00F54D29">
        <w:rPr>
          <w:rFonts w:eastAsia="Calibri" w:cs="Times New Roman"/>
          <w:b/>
          <w:color w:val="4288C8"/>
          <w:szCs w:val="28"/>
        </w:rPr>
        <w:t>1. Calculation frequency of AVAs - Article 1</w:t>
      </w:r>
    </w:p>
    <w:p w14:paraId="4861D75F" w14:textId="77777777" w:rsidR="00F54D29" w:rsidRPr="00F54D29" w:rsidRDefault="00F54D29" w:rsidP="00F54D29">
      <w:pPr>
        <w:tabs>
          <w:tab w:val="left" w:pos="2127"/>
        </w:tabs>
        <w:spacing w:after="0"/>
        <w:contextualSpacing/>
        <w:outlineLvl w:val="0"/>
        <w:rPr>
          <w:rFonts w:eastAsia="Calibri" w:cs="Times New Roman"/>
          <w:bCs/>
          <w:color w:val="4288C8"/>
          <w:szCs w:val="28"/>
        </w:rPr>
      </w:pPr>
      <w:r w:rsidRPr="00F54D29">
        <w:rPr>
          <w:rFonts w:eastAsia="Calibri" w:cs="Times New Roman"/>
          <w:bCs/>
          <w:i/>
          <w:iCs/>
          <w:color w:val="4288C8"/>
          <w:szCs w:val="28"/>
        </w:rPr>
        <w:t>Are you able to calculate and report fair values and AVAs with a monthly frequency? If not, please describe the challenges you face with regard to a monthly calculation, and the monthly reporting of fair values and AVAs (e.g., with the COREP templates). Please make clear if those challenges arise in general or with regard to specific positions (e.g., type of instruments), whether they arise for positions assigned to the trading or non-trading book, and whether they arise for positions treated under the simplified or core approach. Please describe any simplifications and/or assumptions you would have to apply to determine fair values and AVAs on a monthly basis</w:t>
      </w:r>
      <w:r w:rsidRPr="00F54D29">
        <w:rPr>
          <w:rFonts w:eastAsia="Calibri" w:cs="Times New Roman"/>
          <w:bCs/>
          <w:color w:val="4288C8"/>
          <w:szCs w:val="28"/>
        </w:rPr>
        <w:t>.</w:t>
      </w:r>
    </w:p>
    <w:p w14:paraId="34B30C69" w14:textId="77777777" w:rsidR="000B5B5E" w:rsidRDefault="000B5B5E" w:rsidP="00F54D29">
      <w:pPr>
        <w:tabs>
          <w:tab w:val="left" w:pos="2127"/>
        </w:tabs>
        <w:spacing w:after="0"/>
        <w:outlineLvl w:val="0"/>
        <w:rPr>
          <w:rFonts w:eastAsia="Calibri" w:cs="Times New Roman"/>
          <w:bCs/>
          <w:color w:val="4288C8"/>
          <w:szCs w:val="28"/>
        </w:rPr>
      </w:pPr>
    </w:p>
    <w:p w14:paraId="6EF9EC9A" w14:textId="6990FF6F" w:rsidR="002F7174" w:rsidRPr="00823987" w:rsidRDefault="00A042C7" w:rsidP="00F54D29">
      <w:pPr>
        <w:tabs>
          <w:tab w:val="left" w:pos="2127"/>
        </w:tabs>
        <w:spacing w:after="0"/>
        <w:outlineLvl w:val="0"/>
        <w:rPr>
          <w:rFonts w:eastAsia="Calibri" w:cs="Times New Roman"/>
          <w:bCs/>
          <w:color w:val="4288C8"/>
          <w:sz w:val="22"/>
          <w:szCs w:val="32"/>
          <w:lang w:val="en-US"/>
        </w:rPr>
      </w:pPr>
      <w:r w:rsidRPr="00A54D3C">
        <w:rPr>
          <w:rFonts w:eastAsia="Calibri" w:cs="Times New Roman"/>
          <w:bCs/>
          <w:color w:val="4288C8"/>
          <w:sz w:val="22"/>
          <w:szCs w:val="32"/>
        </w:rPr>
        <w:t xml:space="preserve">Calculating </w:t>
      </w:r>
      <w:r w:rsidR="002F7174" w:rsidRPr="00A54D3C">
        <w:rPr>
          <w:rFonts w:eastAsia="Calibri" w:cs="Times New Roman"/>
          <w:bCs/>
          <w:color w:val="4288C8"/>
          <w:sz w:val="22"/>
          <w:szCs w:val="32"/>
        </w:rPr>
        <w:t>AVAs with a monthly frequency can be operationally challenging</w:t>
      </w:r>
      <w:r w:rsidR="002F7174" w:rsidRPr="00A54D3C">
        <w:rPr>
          <w:rFonts w:eastAsia="Calibri" w:cs="Times New Roman"/>
          <w:bCs/>
          <w:color w:val="4288C8"/>
          <w:sz w:val="22"/>
          <w:szCs w:val="32"/>
          <w:lang w:val="en-US"/>
        </w:rPr>
        <w:t xml:space="preserve">. </w:t>
      </w:r>
      <w:r w:rsidR="002F7174" w:rsidRPr="00A54D3C">
        <w:rPr>
          <w:rFonts w:eastAsia="Calibri" w:cs="Times New Roman"/>
          <w:bCs/>
          <w:color w:val="4288C8"/>
          <w:sz w:val="22"/>
          <w:szCs w:val="32"/>
        </w:rPr>
        <w:t>The monthly calculation and reporting require significant system development (such as valuation process for banking book and automation of Variance-Ratio Test), prudent data contracting (such as market volume data currently provided on a less frequent basis for illiquid position for the calculation of CP AVA) as well as coordination of COREP submission process</w:t>
      </w:r>
      <w:r w:rsidR="00823987" w:rsidRPr="00823987">
        <w:rPr>
          <w:rFonts w:eastAsia="Calibri" w:cs="Times New Roman"/>
          <w:bCs/>
          <w:color w:val="4288C8"/>
          <w:sz w:val="22"/>
          <w:szCs w:val="32"/>
          <w:lang w:val="en-US"/>
        </w:rPr>
        <w:t>.</w:t>
      </w:r>
    </w:p>
    <w:p w14:paraId="07B6A05B" w14:textId="77777777" w:rsidR="002F7174" w:rsidRPr="00A54D3C" w:rsidRDefault="002F7174" w:rsidP="00F54D29">
      <w:pPr>
        <w:tabs>
          <w:tab w:val="left" w:pos="2127"/>
        </w:tabs>
        <w:spacing w:after="0"/>
        <w:outlineLvl w:val="0"/>
        <w:rPr>
          <w:rFonts w:eastAsia="Calibri" w:cs="Times New Roman"/>
          <w:bCs/>
          <w:color w:val="4288C8"/>
          <w:sz w:val="22"/>
          <w:szCs w:val="32"/>
        </w:rPr>
      </w:pPr>
    </w:p>
    <w:p w14:paraId="79EE0614" w14:textId="66B79E47" w:rsidR="00F54D29" w:rsidRPr="00A54D3C" w:rsidRDefault="00F54D29" w:rsidP="00F54D29">
      <w:pPr>
        <w:tabs>
          <w:tab w:val="left" w:pos="2127"/>
        </w:tabs>
        <w:spacing w:after="0"/>
        <w:outlineLvl w:val="0"/>
        <w:rPr>
          <w:rFonts w:eastAsia="Calibri" w:cs="Times New Roman"/>
          <w:bCs/>
          <w:color w:val="4288C8"/>
          <w:sz w:val="22"/>
          <w:szCs w:val="32"/>
        </w:rPr>
      </w:pPr>
      <w:r w:rsidRPr="00A54D3C">
        <w:rPr>
          <w:rFonts w:eastAsia="Calibri" w:cs="Times New Roman"/>
          <w:bCs/>
          <w:color w:val="4288C8"/>
          <w:sz w:val="22"/>
          <w:szCs w:val="32"/>
        </w:rPr>
        <w:t xml:space="preserve">The COREP reporting cannot be produced on a monthly basis and is not meant to. </w:t>
      </w:r>
    </w:p>
    <w:p w14:paraId="582452AA" w14:textId="192D5DA4" w:rsidR="0002433A" w:rsidRDefault="00F54D29" w:rsidP="0002433A">
      <w:pPr>
        <w:tabs>
          <w:tab w:val="left" w:pos="2127"/>
        </w:tabs>
        <w:spacing w:after="0"/>
        <w:outlineLvl w:val="0"/>
        <w:rPr>
          <w:rFonts w:eastAsia="Calibri" w:cs="Times New Roman"/>
          <w:bCs/>
          <w:color w:val="4288C8"/>
          <w:sz w:val="22"/>
          <w:szCs w:val="32"/>
        </w:rPr>
      </w:pPr>
      <w:r w:rsidRPr="00A54D3C">
        <w:rPr>
          <w:rFonts w:eastAsia="Calibri" w:cs="Times New Roman"/>
          <w:bCs/>
          <w:color w:val="4288C8"/>
          <w:sz w:val="22"/>
          <w:szCs w:val="32"/>
        </w:rPr>
        <w:t xml:space="preserve">While on trading books, </w:t>
      </w:r>
      <w:r w:rsidR="00A130D7" w:rsidRPr="00A54D3C">
        <w:rPr>
          <w:rFonts w:eastAsia="Calibri" w:cs="Times New Roman"/>
          <w:bCs/>
          <w:color w:val="4288C8"/>
          <w:sz w:val="22"/>
          <w:szCs w:val="32"/>
        </w:rPr>
        <w:t>f</w:t>
      </w:r>
      <w:r w:rsidRPr="00A54D3C">
        <w:rPr>
          <w:rFonts w:eastAsia="Calibri" w:cs="Times New Roman"/>
          <w:bCs/>
          <w:color w:val="4288C8"/>
          <w:sz w:val="22"/>
          <w:szCs w:val="32"/>
        </w:rPr>
        <w:t>air value is calculated and reported  monthly, with a limited setup of controls and certifications, thus</w:t>
      </w:r>
      <w:r w:rsidR="007B0A5C">
        <w:rPr>
          <w:rFonts w:eastAsia="Calibri" w:cs="Times New Roman"/>
          <w:bCs/>
          <w:color w:val="4288C8"/>
          <w:sz w:val="22"/>
          <w:szCs w:val="32"/>
        </w:rPr>
        <w:t>,</w:t>
      </w:r>
      <w:r w:rsidRPr="00A54D3C">
        <w:rPr>
          <w:rFonts w:eastAsia="Calibri" w:cs="Times New Roman"/>
          <w:bCs/>
          <w:color w:val="4288C8"/>
          <w:sz w:val="22"/>
          <w:szCs w:val="32"/>
        </w:rPr>
        <w:t xml:space="preserve"> subject to a relevant industriali</w:t>
      </w:r>
      <w:r w:rsidR="00A130D7" w:rsidRPr="00A54D3C">
        <w:rPr>
          <w:rFonts w:eastAsia="Calibri" w:cs="Times New Roman"/>
          <w:bCs/>
          <w:color w:val="4288C8"/>
          <w:sz w:val="22"/>
          <w:szCs w:val="32"/>
        </w:rPr>
        <w:t>s</w:t>
      </w:r>
      <w:r w:rsidRPr="00A54D3C">
        <w:rPr>
          <w:rFonts w:eastAsia="Calibri" w:cs="Times New Roman"/>
          <w:bCs/>
          <w:color w:val="4288C8"/>
          <w:sz w:val="22"/>
          <w:szCs w:val="32"/>
        </w:rPr>
        <w:t>ation, a monthly measure of AVA should be theoretically possible (if banks can maintain this limited setup of controls and certifications). However, PVA core approach processes require the collection of a vast amount of risk and market data, numerous calibration</w:t>
      </w:r>
      <w:r w:rsidR="00A130D7" w:rsidRPr="00A54D3C">
        <w:rPr>
          <w:rFonts w:eastAsia="Calibri" w:cs="Times New Roman"/>
          <w:bCs/>
          <w:color w:val="4288C8"/>
          <w:sz w:val="22"/>
          <w:szCs w:val="32"/>
        </w:rPr>
        <w:t>s</w:t>
      </w:r>
      <w:r w:rsidRPr="00A54D3C">
        <w:rPr>
          <w:rFonts w:eastAsia="Calibri" w:cs="Times New Roman"/>
          <w:bCs/>
          <w:color w:val="4288C8"/>
          <w:sz w:val="22"/>
          <w:szCs w:val="32"/>
        </w:rPr>
        <w:t xml:space="preserve">, </w:t>
      </w:r>
      <w:r w:rsidR="00A130D7" w:rsidRPr="00A54D3C">
        <w:rPr>
          <w:rFonts w:eastAsia="Calibri" w:cs="Times New Roman"/>
          <w:bCs/>
          <w:color w:val="4288C8"/>
          <w:sz w:val="22"/>
          <w:szCs w:val="32"/>
        </w:rPr>
        <w:t xml:space="preserve">while </w:t>
      </w:r>
      <w:r w:rsidRPr="00A54D3C">
        <w:rPr>
          <w:rFonts w:eastAsia="Calibri" w:cs="Times New Roman"/>
          <w:bCs/>
          <w:color w:val="4288C8"/>
          <w:sz w:val="22"/>
          <w:szCs w:val="32"/>
        </w:rPr>
        <w:t>involve subsequent reviews and challenges as part of a robust governance, need proper commentaries and finally result in multiple reporting and escalation. The overall PVA process is time</w:t>
      </w:r>
      <w:r w:rsidR="00A130D7" w:rsidRPr="00A54D3C">
        <w:rPr>
          <w:rFonts w:eastAsia="Calibri" w:cs="Times New Roman"/>
          <w:bCs/>
          <w:color w:val="4288C8"/>
          <w:sz w:val="22"/>
          <w:szCs w:val="32"/>
        </w:rPr>
        <w:t>-</w:t>
      </w:r>
      <w:r w:rsidRPr="00A54D3C">
        <w:rPr>
          <w:rFonts w:eastAsia="Calibri" w:cs="Times New Roman"/>
          <w:bCs/>
          <w:color w:val="4288C8"/>
          <w:sz w:val="22"/>
          <w:szCs w:val="32"/>
        </w:rPr>
        <w:t>consuming and therefore the cost/benefit of moving to a monthly calculation is not obvious.</w:t>
      </w:r>
    </w:p>
    <w:p w14:paraId="22F278C6" w14:textId="5D7121A3" w:rsidR="0002433A" w:rsidRPr="00341F6C" w:rsidRDefault="0002433A" w:rsidP="0002433A">
      <w:pPr>
        <w:tabs>
          <w:tab w:val="left" w:pos="2127"/>
        </w:tabs>
        <w:spacing w:after="0"/>
        <w:contextualSpacing/>
        <w:outlineLvl w:val="0"/>
        <w:rPr>
          <w:rFonts w:eastAsia="Calibri" w:cs="Times New Roman"/>
          <w:bCs/>
          <w:color w:val="4288C8"/>
          <w:sz w:val="22"/>
          <w:szCs w:val="32"/>
          <w:lang w:val="en-US"/>
        </w:rPr>
      </w:pPr>
      <w:r w:rsidRPr="00CA516C">
        <w:rPr>
          <w:rFonts w:eastAsia="Calibri" w:cs="Times New Roman"/>
          <w:bCs/>
          <w:color w:val="4288C8"/>
          <w:sz w:val="22"/>
          <w:szCs w:val="32"/>
        </w:rPr>
        <w:t xml:space="preserve">Furthermore, AVAs are mostly calculated from valuation exposures and confidence intervals charges. On trading book positions the valuation exposures are calculated every day, yet the confidence interval charges cannot be easily updated on a monthly basis as this would require a full automation of market data gathering. The cost and complexity of such a project would be detrimental to the activity, with very little added value from supervisory or internal perspective. Indeed, the volatility of AVA over time remains reasonable except for specific </w:t>
      </w:r>
      <w:r w:rsidRPr="00CA516C">
        <w:rPr>
          <w:rFonts w:eastAsia="Calibri" w:cs="Times New Roman"/>
          <w:bCs/>
          <w:color w:val="4288C8"/>
          <w:sz w:val="22"/>
          <w:szCs w:val="32"/>
        </w:rPr>
        <w:lastRenderedPageBreak/>
        <w:t>cases (such as the Covid outbreak) but this can be tackled separately in exceptional circumstances without such strong and complex requirement.</w:t>
      </w:r>
    </w:p>
    <w:p w14:paraId="4038C4FE" w14:textId="77777777" w:rsidR="00F54D29" w:rsidRPr="00A54D3C" w:rsidRDefault="00F54D29" w:rsidP="00F54D29">
      <w:pPr>
        <w:tabs>
          <w:tab w:val="left" w:pos="2127"/>
        </w:tabs>
        <w:spacing w:after="0"/>
        <w:contextualSpacing/>
        <w:outlineLvl w:val="0"/>
        <w:rPr>
          <w:rFonts w:eastAsia="Calibri" w:cs="Times New Roman"/>
          <w:bCs/>
          <w:color w:val="4288C8"/>
          <w:sz w:val="22"/>
          <w:szCs w:val="32"/>
        </w:rPr>
      </w:pPr>
    </w:p>
    <w:p w14:paraId="5CEA24A1" w14:textId="40C78BBC" w:rsidR="00F54D29" w:rsidRPr="00A54D3C" w:rsidRDefault="00A130D7" w:rsidP="00F54D29">
      <w:pPr>
        <w:tabs>
          <w:tab w:val="left" w:pos="2127"/>
        </w:tabs>
        <w:spacing w:after="0"/>
        <w:contextualSpacing/>
        <w:outlineLvl w:val="0"/>
        <w:rPr>
          <w:rFonts w:eastAsia="Calibri" w:cs="Times New Roman"/>
          <w:bCs/>
          <w:color w:val="4288C8"/>
          <w:sz w:val="22"/>
          <w:szCs w:val="32"/>
        </w:rPr>
      </w:pPr>
      <w:r w:rsidRPr="00A54D3C">
        <w:rPr>
          <w:rFonts w:eastAsia="Calibri" w:cs="Times New Roman"/>
          <w:bCs/>
          <w:color w:val="4288C8"/>
          <w:sz w:val="22"/>
          <w:szCs w:val="32"/>
        </w:rPr>
        <w:t>In addition</w:t>
      </w:r>
      <w:r w:rsidR="00F54D29" w:rsidRPr="00A54D3C">
        <w:rPr>
          <w:rFonts w:eastAsia="Calibri" w:cs="Times New Roman"/>
          <w:bCs/>
          <w:color w:val="4288C8"/>
          <w:sz w:val="22"/>
          <w:szCs w:val="32"/>
        </w:rPr>
        <w:t xml:space="preserve">, this cannot be done on the banking book positions where valuation for accounting and prudential requirements is only required on a quarterly basis. The specificity of the </w:t>
      </w:r>
      <w:r w:rsidR="00341F6C">
        <w:rPr>
          <w:rFonts w:eastAsia="Calibri" w:cs="Times New Roman"/>
          <w:bCs/>
          <w:color w:val="4288C8"/>
          <w:sz w:val="22"/>
          <w:szCs w:val="32"/>
        </w:rPr>
        <w:t>b</w:t>
      </w:r>
      <w:r w:rsidR="00F54D29" w:rsidRPr="00A54D3C">
        <w:rPr>
          <w:rFonts w:eastAsia="Calibri" w:cs="Times New Roman"/>
          <w:bCs/>
          <w:color w:val="4288C8"/>
          <w:sz w:val="22"/>
          <w:szCs w:val="32"/>
        </w:rPr>
        <w:t>anking book, and in particular its own dynamic nature</w:t>
      </w:r>
      <w:r w:rsidR="00341F6C">
        <w:rPr>
          <w:rFonts w:eastAsia="Calibri" w:cs="Times New Roman"/>
          <w:bCs/>
          <w:color w:val="4288C8"/>
          <w:sz w:val="22"/>
          <w:szCs w:val="32"/>
        </w:rPr>
        <w:t>,</w:t>
      </w:r>
      <w:r w:rsidR="00F54D29" w:rsidRPr="00A54D3C">
        <w:rPr>
          <w:rFonts w:eastAsia="Calibri" w:cs="Times New Roman"/>
          <w:bCs/>
          <w:color w:val="4288C8"/>
          <w:sz w:val="22"/>
          <w:szCs w:val="32"/>
        </w:rPr>
        <w:t xml:space="preserve"> is to be respected in the RTS as mentioned in the CRR </w:t>
      </w:r>
      <w:r w:rsidR="001445B7" w:rsidRPr="00A54D3C">
        <w:rPr>
          <w:rFonts w:eastAsia="Calibri" w:cs="Times New Roman"/>
          <w:bCs/>
          <w:color w:val="4288C8"/>
          <w:sz w:val="22"/>
          <w:szCs w:val="32"/>
        </w:rPr>
        <w:t>under A</w:t>
      </w:r>
      <w:r w:rsidR="00F54D29" w:rsidRPr="00A54D3C">
        <w:rPr>
          <w:rFonts w:eastAsia="Calibri" w:cs="Times New Roman"/>
          <w:bCs/>
          <w:color w:val="4288C8"/>
          <w:sz w:val="22"/>
          <w:szCs w:val="32"/>
        </w:rPr>
        <w:t>rticle</w:t>
      </w:r>
      <w:r w:rsidR="001445B7" w:rsidRPr="00A54D3C">
        <w:rPr>
          <w:rFonts w:eastAsia="Calibri" w:cs="Times New Roman"/>
          <w:bCs/>
          <w:color w:val="4288C8"/>
          <w:sz w:val="22"/>
          <w:szCs w:val="32"/>
        </w:rPr>
        <w:t xml:space="preserve"> </w:t>
      </w:r>
      <w:r w:rsidR="00F54D29" w:rsidRPr="00A54D3C">
        <w:rPr>
          <w:rFonts w:eastAsia="Calibri" w:cs="Times New Roman"/>
          <w:bCs/>
          <w:color w:val="4288C8"/>
          <w:sz w:val="22"/>
          <w:szCs w:val="32"/>
        </w:rPr>
        <w:t>105.1</w:t>
      </w:r>
      <w:r w:rsidR="001445B7" w:rsidRPr="00A54D3C">
        <w:rPr>
          <w:rStyle w:val="FootnoteReference"/>
          <w:rFonts w:eastAsia="Calibri" w:cs="Times New Roman"/>
          <w:bCs/>
          <w:color w:val="4288C8"/>
          <w:sz w:val="22"/>
          <w:szCs w:val="32"/>
        </w:rPr>
        <w:footnoteReference w:id="1"/>
      </w:r>
      <w:r w:rsidR="001445B7" w:rsidRPr="00A54D3C">
        <w:rPr>
          <w:rFonts w:eastAsia="Calibri" w:cs="Times New Roman"/>
          <w:bCs/>
          <w:color w:val="4288C8"/>
          <w:sz w:val="22"/>
          <w:szCs w:val="32"/>
        </w:rPr>
        <w:t>.</w:t>
      </w:r>
      <w:r w:rsidR="00F54D29" w:rsidRPr="00A54D3C">
        <w:rPr>
          <w:rFonts w:eastAsia="Calibri" w:cs="Times New Roman"/>
          <w:bCs/>
          <w:color w:val="4288C8"/>
          <w:sz w:val="22"/>
          <w:szCs w:val="32"/>
        </w:rPr>
        <w:t xml:space="preserve"> </w:t>
      </w:r>
    </w:p>
    <w:p w14:paraId="1D8C24F5" w14:textId="77777777" w:rsidR="00F54D29" w:rsidRDefault="00F54D29" w:rsidP="00F54D29">
      <w:pPr>
        <w:tabs>
          <w:tab w:val="left" w:pos="2127"/>
        </w:tabs>
        <w:spacing w:after="0"/>
        <w:contextualSpacing/>
        <w:outlineLvl w:val="0"/>
        <w:rPr>
          <w:rFonts w:eastAsia="Calibri" w:cs="Times New Roman"/>
          <w:bCs/>
          <w:color w:val="4288C8"/>
          <w:sz w:val="22"/>
          <w:szCs w:val="32"/>
        </w:rPr>
      </w:pPr>
    </w:p>
    <w:p w14:paraId="6EF386E6" w14:textId="1A7FBAF7" w:rsidR="00AA7CE1" w:rsidRPr="00A54D3C" w:rsidRDefault="00F54D29" w:rsidP="00F54D29">
      <w:pPr>
        <w:tabs>
          <w:tab w:val="left" w:pos="2127"/>
        </w:tabs>
        <w:spacing w:after="0"/>
        <w:contextualSpacing/>
        <w:outlineLvl w:val="0"/>
        <w:rPr>
          <w:rFonts w:eastAsia="Calibri" w:cs="Times New Roman"/>
          <w:bCs/>
          <w:color w:val="4288C8"/>
          <w:sz w:val="22"/>
          <w:szCs w:val="32"/>
        </w:rPr>
      </w:pPr>
      <w:r w:rsidRPr="00A54D3C">
        <w:rPr>
          <w:rFonts w:eastAsia="Calibri" w:cs="Times New Roman"/>
          <w:bCs/>
          <w:color w:val="4288C8"/>
          <w:sz w:val="22"/>
          <w:szCs w:val="32"/>
        </w:rPr>
        <w:t xml:space="preserve">More </w:t>
      </w:r>
      <w:r w:rsidR="0096306B" w:rsidRPr="00A54D3C">
        <w:rPr>
          <w:rFonts w:eastAsia="Calibri" w:cs="Times New Roman"/>
          <w:bCs/>
          <w:color w:val="4288C8"/>
          <w:sz w:val="22"/>
          <w:szCs w:val="32"/>
        </w:rPr>
        <w:t>g</w:t>
      </w:r>
      <w:r w:rsidRPr="00A54D3C">
        <w:rPr>
          <w:rFonts w:eastAsia="Calibri" w:cs="Times New Roman"/>
          <w:bCs/>
          <w:color w:val="4288C8"/>
          <w:sz w:val="22"/>
          <w:szCs w:val="32"/>
        </w:rPr>
        <w:t xml:space="preserve">enerally due diligences related to instruments at fair value cannot be the same for banking book and trading book positions, due to the nature of the instruments, and the process implemented to monitor these </w:t>
      </w:r>
      <w:r w:rsidR="00440C04" w:rsidRPr="00A54D3C">
        <w:rPr>
          <w:rFonts w:eastAsia="Calibri" w:cs="Times New Roman"/>
          <w:bCs/>
          <w:color w:val="4288C8"/>
          <w:sz w:val="22"/>
          <w:szCs w:val="32"/>
        </w:rPr>
        <w:t>two</w:t>
      </w:r>
      <w:r w:rsidRPr="00A54D3C">
        <w:rPr>
          <w:rFonts w:eastAsia="Calibri" w:cs="Times New Roman"/>
          <w:bCs/>
          <w:color w:val="4288C8"/>
          <w:sz w:val="22"/>
          <w:szCs w:val="32"/>
        </w:rPr>
        <w:t xml:space="preserve"> different books.</w:t>
      </w:r>
    </w:p>
    <w:p w14:paraId="3FADDEB7" w14:textId="77777777" w:rsidR="00F54D29" w:rsidRPr="00A54D3C" w:rsidRDefault="00F54D29" w:rsidP="00F54D29">
      <w:pPr>
        <w:tabs>
          <w:tab w:val="left" w:pos="2127"/>
        </w:tabs>
        <w:spacing w:after="0"/>
        <w:contextualSpacing/>
        <w:outlineLvl w:val="0"/>
        <w:rPr>
          <w:rFonts w:eastAsia="Calibri" w:cs="Times New Roman"/>
          <w:bCs/>
          <w:color w:val="4288C8"/>
          <w:sz w:val="22"/>
          <w:szCs w:val="32"/>
        </w:rPr>
      </w:pPr>
    </w:p>
    <w:p w14:paraId="0C45D698" w14:textId="5BAA187D" w:rsidR="00F54D29" w:rsidRPr="00A54D3C" w:rsidRDefault="00F54D29" w:rsidP="00F54D29">
      <w:pPr>
        <w:tabs>
          <w:tab w:val="left" w:pos="2127"/>
        </w:tabs>
        <w:spacing w:after="0"/>
        <w:contextualSpacing/>
        <w:outlineLvl w:val="0"/>
        <w:rPr>
          <w:rFonts w:eastAsia="Calibri" w:cs="Times New Roman"/>
          <w:bCs/>
          <w:color w:val="4288C8"/>
          <w:sz w:val="22"/>
          <w:szCs w:val="32"/>
        </w:rPr>
      </w:pPr>
      <w:r w:rsidRPr="00A54D3C">
        <w:rPr>
          <w:rFonts w:eastAsia="Calibri" w:cs="Times New Roman"/>
          <w:bCs/>
          <w:color w:val="4288C8"/>
          <w:sz w:val="22"/>
          <w:szCs w:val="32"/>
        </w:rPr>
        <w:t xml:space="preserve">Besides, management awareness to valuation risk </w:t>
      </w:r>
      <w:r w:rsidR="00440C04" w:rsidRPr="00A54D3C">
        <w:rPr>
          <w:rFonts w:eastAsia="Calibri" w:cs="Times New Roman"/>
          <w:bCs/>
          <w:color w:val="4288C8"/>
          <w:sz w:val="22"/>
          <w:szCs w:val="32"/>
        </w:rPr>
        <w:t>has been</w:t>
      </w:r>
      <w:r w:rsidRPr="00A54D3C">
        <w:rPr>
          <w:rFonts w:eastAsia="Calibri" w:cs="Times New Roman"/>
          <w:bCs/>
          <w:color w:val="4288C8"/>
          <w:sz w:val="22"/>
          <w:szCs w:val="32"/>
        </w:rPr>
        <w:t xml:space="preserve"> already achieved through various accounting fair value adjustments that exhibit similar dynamics to AVAs, such as XVAs and bid offer FVAs; various markets volatility indicators are also indicative of potential price dispersion and </w:t>
      </w:r>
      <w:r w:rsidR="00440C04" w:rsidRPr="00A54D3C">
        <w:rPr>
          <w:rFonts w:eastAsia="Calibri" w:cs="Times New Roman"/>
          <w:bCs/>
          <w:color w:val="4288C8"/>
          <w:sz w:val="22"/>
          <w:szCs w:val="32"/>
        </w:rPr>
        <w:t xml:space="preserve">can </w:t>
      </w:r>
      <w:r w:rsidRPr="00A54D3C">
        <w:rPr>
          <w:rFonts w:eastAsia="Calibri" w:cs="Times New Roman"/>
          <w:bCs/>
          <w:color w:val="4288C8"/>
          <w:sz w:val="22"/>
          <w:szCs w:val="32"/>
        </w:rPr>
        <w:t>provide real time information.</w:t>
      </w:r>
    </w:p>
    <w:p w14:paraId="6E463CF7" w14:textId="77777777" w:rsidR="00F54D29" w:rsidRPr="00A54D3C" w:rsidRDefault="00F54D29" w:rsidP="00F54D29">
      <w:pPr>
        <w:tabs>
          <w:tab w:val="left" w:pos="2127"/>
        </w:tabs>
        <w:spacing w:after="0"/>
        <w:contextualSpacing/>
        <w:outlineLvl w:val="0"/>
        <w:rPr>
          <w:rFonts w:eastAsia="Calibri" w:cs="Times New Roman"/>
          <w:bCs/>
          <w:color w:val="4288C8"/>
          <w:sz w:val="22"/>
          <w:szCs w:val="32"/>
        </w:rPr>
      </w:pPr>
    </w:p>
    <w:p w14:paraId="179DAEF8" w14:textId="5D941867" w:rsidR="00F54D29" w:rsidRPr="00990DB3" w:rsidRDefault="00F54D29" w:rsidP="00F54D29">
      <w:pPr>
        <w:tabs>
          <w:tab w:val="left" w:pos="2127"/>
        </w:tabs>
        <w:spacing w:after="0"/>
        <w:contextualSpacing/>
        <w:outlineLvl w:val="0"/>
        <w:rPr>
          <w:rFonts w:eastAsia="Calibri" w:cs="Times New Roman"/>
          <w:bCs/>
          <w:color w:val="4288C8"/>
          <w:sz w:val="22"/>
          <w:szCs w:val="32"/>
          <w:lang w:val="en-US"/>
        </w:rPr>
      </w:pPr>
      <w:r w:rsidRPr="00A54D3C">
        <w:rPr>
          <w:rFonts w:eastAsia="Calibri" w:cs="Times New Roman"/>
          <w:bCs/>
          <w:color w:val="4288C8"/>
          <w:sz w:val="22"/>
          <w:szCs w:val="32"/>
        </w:rPr>
        <w:t xml:space="preserve">However, in case this requirement is </w:t>
      </w:r>
      <w:r w:rsidR="00440C04" w:rsidRPr="00A54D3C">
        <w:rPr>
          <w:rFonts w:eastAsia="Calibri" w:cs="Times New Roman"/>
          <w:bCs/>
          <w:color w:val="4288C8"/>
          <w:sz w:val="22"/>
          <w:szCs w:val="32"/>
        </w:rPr>
        <w:t>maintained</w:t>
      </w:r>
      <w:r w:rsidRPr="00A54D3C">
        <w:rPr>
          <w:rFonts w:eastAsia="Calibri" w:cs="Times New Roman"/>
          <w:bCs/>
          <w:color w:val="4288C8"/>
          <w:sz w:val="22"/>
          <w:szCs w:val="32"/>
        </w:rPr>
        <w:t xml:space="preserve">, </w:t>
      </w:r>
      <w:r w:rsidR="00440C04" w:rsidRPr="00A54D3C">
        <w:rPr>
          <w:rFonts w:eastAsia="Calibri" w:cs="Times New Roman"/>
          <w:bCs/>
          <w:color w:val="4288C8"/>
          <w:sz w:val="22"/>
          <w:szCs w:val="32"/>
        </w:rPr>
        <w:t xml:space="preserve">the </w:t>
      </w:r>
      <w:r w:rsidRPr="00A54D3C">
        <w:rPr>
          <w:rFonts w:eastAsia="Calibri" w:cs="Times New Roman"/>
          <w:bCs/>
          <w:color w:val="4288C8"/>
          <w:sz w:val="22"/>
          <w:szCs w:val="32"/>
        </w:rPr>
        <w:t xml:space="preserve">main criteria </w:t>
      </w:r>
      <w:r w:rsidR="00440C04" w:rsidRPr="00A54D3C">
        <w:rPr>
          <w:rFonts w:eastAsia="Calibri" w:cs="Times New Roman"/>
          <w:bCs/>
          <w:color w:val="4288C8"/>
          <w:sz w:val="22"/>
          <w:szCs w:val="32"/>
        </w:rPr>
        <w:t>triggering</w:t>
      </w:r>
      <w:r w:rsidRPr="00A54D3C">
        <w:rPr>
          <w:rFonts w:eastAsia="Calibri" w:cs="Times New Roman"/>
          <w:bCs/>
          <w:color w:val="4288C8"/>
          <w:sz w:val="22"/>
          <w:szCs w:val="32"/>
        </w:rPr>
        <w:t xml:space="preserve"> a monthly calculation and/or COREP reporting should be more </w:t>
      </w:r>
      <w:r w:rsidR="00DC3CBC" w:rsidRPr="00A54D3C">
        <w:rPr>
          <w:rFonts w:eastAsia="Calibri" w:cs="Times New Roman"/>
          <w:bCs/>
          <w:color w:val="4288C8"/>
          <w:sz w:val="22"/>
          <w:szCs w:val="32"/>
        </w:rPr>
        <w:t>explicit,</w:t>
      </w:r>
      <w:r w:rsidRPr="00A54D3C">
        <w:rPr>
          <w:rFonts w:eastAsia="Calibri" w:cs="Times New Roman"/>
          <w:bCs/>
          <w:color w:val="4288C8"/>
          <w:sz w:val="22"/>
          <w:szCs w:val="32"/>
        </w:rPr>
        <w:t xml:space="preserve"> and</w:t>
      </w:r>
      <w:r w:rsidR="00440C04" w:rsidRPr="00A54D3C">
        <w:rPr>
          <w:rFonts w:eastAsia="Calibri" w:cs="Times New Roman"/>
          <w:bCs/>
          <w:color w:val="4288C8"/>
          <w:sz w:val="22"/>
          <w:szCs w:val="32"/>
        </w:rPr>
        <w:t xml:space="preserve"> the</w:t>
      </w:r>
      <w:r w:rsidRPr="00A54D3C">
        <w:rPr>
          <w:rFonts w:eastAsia="Calibri" w:cs="Times New Roman"/>
          <w:bCs/>
          <w:color w:val="4288C8"/>
          <w:sz w:val="22"/>
          <w:szCs w:val="32"/>
        </w:rPr>
        <w:t xml:space="preserve"> text should clarify whether shock calibration and VRT tests shall be also updated monthly. </w:t>
      </w:r>
      <w:r w:rsidR="00AA7CE1">
        <w:rPr>
          <w:rFonts w:eastAsia="Calibri" w:cs="Times New Roman"/>
          <w:bCs/>
          <w:color w:val="4288C8"/>
          <w:sz w:val="22"/>
          <w:szCs w:val="32"/>
        </w:rPr>
        <w:t>In addition</w:t>
      </w:r>
      <w:r w:rsidRPr="00A54D3C">
        <w:rPr>
          <w:rFonts w:eastAsia="Calibri" w:cs="Times New Roman"/>
          <w:bCs/>
          <w:color w:val="4288C8"/>
          <w:sz w:val="22"/>
          <w:szCs w:val="32"/>
        </w:rPr>
        <w:t xml:space="preserve">, it would be </w:t>
      </w:r>
      <w:r w:rsidR="00440C04" w:rsidRPr="00A54D3C">
        <w:rPr>
          <w:rFonts w:eastAsia="Calibri" w:cs="Times New Roman"/>
          <w:bCs/>
          <w:color w:val="4288C8"/>
          <w:sz w:val="22"/>
          <w:szCs w:val="32"/>
        </w:rPr>
        <w:t xml:space="preserve">also </w:t>
      </w:r>
      <w:r w:rsidRPr="00A54D3C">
        <w:rPr>
          <w:rFonts w:eastAsia="Calibri" w:cs="Times New Roman"/>
          <w:bCs/>
          <w:color w:val="4288C8"/>
          <w:sz w:val="22"/>
          <w:szCs w:val="32"/>
        </w:rPr>
        <w:t>worth clarifying whether the monthly calculation implies</w:t>
      </w:r>
      <w:r w:rsidR="00440C04" w:rsidRPr="00A54D3C">
        <w:rPr>
          <w:rFonts w:eastAsia="Calibri" w:cs="Times New Roman"/>
          <w:bCs/>
          <w:color w:val="4288C8"/>
          <w:sz w:val="22"/>
          <w:szCs w:val="32"/>
        </w:rPr>
        <w:t xml:space="preserve"> to provide </w:t>
      </w:r>
      <w:r w:rsidRPr="00A54D3C">
        <w:rPr>
          <w:rFonts w:eastAsia="Calibri" w:cs="Times New Roman"/>
          <w:bCs/>
          <w:color w:val="4288C8"/>
          <w:sz w:val="22"/>
          <w:szCs w:val="32"/>
        </w:rPr>
        <w:t>the reporting templates (C32.1-2-3-4) at the same frequency.</w:t>
      </w:r>
    </w:p>
    <w:p w14:paraId="174E0E7A" w14:textId="77777777" w:rsidR="00F54D29" w:rsidRPr="00A54D3C" w:rsidRDefault="00F54D29" w:rsidP="00F54D29">
      <w:pPr>
        <w:tabs>
          <w:tab w:val="left" w:pos="2127"/>
        </w:tabs>
        <w:spacing w:after="0"/>
        <w:contextualSpacing/>
        <w:outlineLvl w:val="0"/>
        <w:rPr>
          <w:rFonts w:eastAsia="Calibri" w:cs="Times New Roman"/>
          <w:bCs/>
          <w:color w:val="4288C8"/>
          <w:sz w:val="22"/>
          <w:szCs w:val="32"/>
        </w:rPr>
      </w:pPr>
    </w:p>
    <w:p w14:paraId="288E2282" w14:textId="6ED6967D" w:rsidR="00F54D29" w:rsidRPr="00A54D3C" w:rsidRDefault="00F54D29" w:rsidP="00F54D29">
      <w:pPr>
        <w:tabs>
          <w:tab w:val="left" w:pos="2127"/>
        </w:tabs>
        <w:spacing w:after="0"/>
        <w:contextualSpacing/>
        <w:outlineLvl w:val="0"/>
        <w:rPr>
          <w:rFonts w:eastAsia="Calibri" w:cs="Times New Roman"/>
          <w:bCs/>
          <w:color w:val="4288C8"/>
          <w:sz w:val="22"/>
          <w:szCs w:val="32"/>
        </w:rPr>
      </w:pPr>
      <w:r w:rsidRPr="00A54D3C">
        <w:rPr>
          <w:rFonts w:eastAsia="Calibri" w:cs="Times New Roman"/>
          <w:bCs/>
          <w:color w:val="4288C8"/>
          <w:sz w:val="22"/>
          <w:szCs w:val="32"/>
        </w:rPr>
        <w:t xml:space="preserve">Finally, </w:t>
      </w:r>
      <w:r w:rsidR="00440C04" w:rsidRPr="00A54D3C">
        <w:rPr>
          <w:rFonts w:eastAsia="Calibri" w:cs="Times New Roman"/>
          <w:bCs/>
          <w:color w:val="4288C8"/>
          <w:sz w:val="22"/>
          <w:szCs w:val="32"/>
        </w:rPr>
        <w:t>L</w:t>
      </w:r>
      <w:r w:rsidRPr="00A54D3C">
        <w:rPr>
          <w:rFonts w:eastAsia="Calibri" w:cs="Times New Roman"/>
          <w:bCs/>
          <w:color w:val="4288C8"/>
          <w:sz w:val="22"/>
          <w:szCs w:val="32"/>
        </w:rPr>
        <w:t xml:space="preserve">evel 1 text requires that reporting requirement shall be proportionate to the objective targeted by the requirement (see CRD 104.2). </w:t>
      </w:r>
    </w:p>
    <w:p w14:paraId="6FCE93F0" w14:textId="77777777" w:rsidR="00F54D29" w:rsidRPr="00A54D3C" w:rsidRDefault="00F54D29" w:rsidP="00F54D29">
      <w:pPr>
        <w:tabs>
          <w:tab w:val="left" w:pos="2127"/>
        </w:tabs>
        <w:spacing w:after="0"/>
        <w:outlineLvl w:val="0"/>
        <w:rPr>
          <w:rFonts w:eastAsia="Calibri" w:cs="Times New Roman"/>
          <w:bCs/>
          <w:color w:val="4288C8"/>
          <w:sz w:val="22"/>
          <w:szCs w:val="32"/>
        </w:rPr>
      </w:pPr>
    </w:p>
    <w:p w14:paraId="10119351" w14:textId="61F9A54D" w:rsidR="002F7174" w:rsidRPr="002F7174" w:rsidRDefault="002F7174" w:rsidP="002F7174">
      <w:pPr>
        <w:tabs>
          <w:tab w:val="left" w:pos="2127"/>
        </w:tabs>
        <w:spacing w:after="0"/>
        <w:outlineLvl w:val="0"/>
        <w:rPr>
          <w:rFonts w:eastAsia="Calibri" w:cs="Times New Roman"/>
          <w:b/>
          <w:color w:val="4288C8"/>
          <w:szCs w:val="28"/>
        </w:rPr>
      </w:pPr>
      <w:r w:rsidRPr="002F7174">
        <w:rPr>
          <w:rFonts w:eastAsia="Calibri" w:cs="Times New Roman"/>
          <w:b/>
          <w:color w:val="4288C8"/>
          <w:szCs w:val="28"/>
        </w:rPr>
        <w:t>Q</w:t>
      </w:r>
      <w:r w:rsidR="008864B0">
        <w:rPr>
          <w:rFonts w:eastAsia="Calibri" w:cs="Times New Roman"/>
          <w:b/>
          <w:color w:val="4288C8"/>
          <w:szCs w:val="28"/>
        </w:rPr>
        <w:t xml:space="preserve">uestion </w:t>
      </w:r>
      <w:r w:rsidRPr="002F7174">
        <w:rPr>
          <w:rFonts w:eastAsia="Calibri" w:cs="Times New Roman"/>
          <w:b/>
          <w:color w:val="4288C8"/>
          <w:szCs w:val="28"/>
        </w:rPr>
        <w:t>2. Data sources - Article 3</w:t>
      </w:r>
    </w:p>
    <w:p w14:paraId="0D4D4DA4" w14:textId="77777777" w:rsidR="002F7174" w:rsidRPr="002F7174" w:rsidRDefault="002F7174" w:rsidP="002F7174">
      <w:pPr>
        <w:tabs>
          <w:tab w:val="left" w:pos="2127"/>
        </w:tabs>
        <w:spacing w:after="0"/>
        <w:outlineLvl w:val="0"/>
        <w:rPr>
          <w:rFonts w:eastAsia="Calibri" w:cs="Times New Roman"/>
          <w:b/>
          <w:color w:val="4288C8"/>
          <w:szCs w:val="28"/>
        </w:rPr>
      </w:pPr>
    </w:p>
    <w:p w14:paraId="69A83D6E" w14:textId="77777777" w:rsidR="002F7174" w:rsidRPr="00DF3BD3" w:rsidRDefault="002F7174" w:rsidP="002F7174">
      <w:pPr>
        <w:tabs>
          <w:tab w:val="left" w:pos="2127"/>
        </w:tabs>
        <w:spacing w:after="0"/>
        <w:outlineLvl w:val="0"/>
        <w:rPr>
          <w:rFonts w:eastAsia="Calibri" w:cs="Times New Roman"/>
          <w:bCs/>
          <w:i/>
          <w:iCs/>
          <w:color w:val="4288C8"/>
          <w:szCs w:val="28"/>
        </w:rPr>
      </w:pPr>
      <w:r w:rsidRPr="00DF3BD3">
        <w:rPr>
          <w:rFonts w:eastAsia="Calibri" w:cs="Times New Roman"/>
          <w:bCs/>
          <w:i/>
          <w:iCs/>
          <w:color w:val="4288C8"/>
          <w:szCs w:val="28"/>
        </w:rPr>
        <w:t>Do you have any comments on the amendments to Article 3 in general, and specifically with regard to the threshold of ten contributors set out in paragraph 2, point (d)? If you consider a different threshold should be applied, please describe how to set it, and provide a rationale and evidence supporting your proposal.</w:t>
      </w:r>
    </w:p>
    <w:p w14:paraId="76498F48" w14:textId="77777777" w:rsidR="002F7174" w:rsidRPr="00DF3BD3" w:rsidRDefault="002F7174" w:rsidP="002F7174">
      <w:pPr>
        <w:tabs>
          <w:tab w:val="left" w:pos="2127"/>
        </w:tabs>
        <w:spacing w:after="0"/>
        <w:outlineLvl w:val="0"/>
        <w:rPr>
          <w:rFonts w:eastAsia="Calibri" w:cs="Times New Roman"/>
          <w:bCs/>
          <w:i/>
          <w:iCs/>
          <w:color w:val="4288C8"/>
          <w:szCs w:val="28"/>
        </w:rPr>
      </w:pPr>
    </w:p>
    <w:p w14:paraId="734BCA12" w14:textId="66FB4862" w:rsidR="00003D39" w:rsidRPr="005863D3" w:rsidRDefault="00003D39" w:rsidP="002F7174">
      <w:pPr>
        <w:tabs>
          <w:tab w:val="left" w:pos="2127"/>
        </w:tabs>
        <w:spacing w:after="0"/>
        <w:outlineLvl w:val="0"/>
        <w:rPr>
          <w:rFonts w:eastAsia="Calibri" w:cs="Times New Roman"/>
          <w:bCs/>
          <w:color w:val="4288C8"/>
          <w:sz w:val="22"/>
          <w:szCs w:val="32"/>
          <w:lang w:val="en-US"/>
        </w:rPr>
      </w:pPr>
      <w:r w:rsidRPr="0051189E">
        <w:rPr>
          <w:rFonts w:eastAsia="Calibri" w:cs="Times New Roman"/>
          <w:bCs/>
          <w:color w:val="4288C8"/>
          <w:sz w:val="22"/>
          <w:szCs w:val="32"/>
        </w:rPr>
        <w:t>To begin with,</w:t>
      </w:r>
      <w:r w:rsidR="003D0DF5" w:rsidRPr="0051189E">
        <w:rPr>
          <w:rFonts w:eastAsia="Calibri" w:cs="Times New Roman"/>
          <w:bCs/>
          <w:color w:val="4288C8"/>
          <w:sz w:val="22"/>
          <w:szCs w:val="32"/>
        </w:rPr>
        <w:t xml:space="preserve"> Article 3.1 provides a list of data sources and requires that, “</w:t>
      </w:r>
      <w:r w:rsidR="003D0DF5" w:rsidRPr="00F94A91">
        <w:rPr>
          <w:rFonts w:eastAsia="Calibri" w:cs="Times New Roman"/>
          <w:bCs/>
          <w:i/>
          <w:iCs/>
          <w:color w:val="4288C8"/>
          <w:sz w:val="22"/>
          <w:szCs w:val="32"/>
        </w:rPr>
        <w:t xml:space="preserve">Institutions shall use at least the </w:t>
      </w:r>
      <w:r w:rsidR="003D0DF5" w:rsidRPr="00F94A91">
        <w:rPr>
          <w:rFonts w:eastAsia="Calibri" w:cs="Times New Roman"/>
          <w:b/>
          <w:color w:val="4288C8"/>
          <w:sz w:val="22"/>
          <w:szCs w:val="32"/>
        </w:rPr>
        <w:t>same range</w:t>
      </w:r>
      <w:r w:rsidR="003D0DF5" w:rsidRPr="00F94A91">
        <w:rPr>
          <w:rFonts w:eastAsia="Calibri" w:cs="Times New Roman"/>
          <w:bCs/>
          <w:i/>
          <w:iCs/>
          <w:color w:val="4288C8"/>
          <w:sz w:val="22"/>
          <w:szCs w:val="32"/>
        </w:rPr>
        <w:t xml:space="preserve"> of market data as a basis for calculating the AVAs, as they use in the IPV process, provided that the market data meet the requirements set out in this Article</w:t>
      </w:r>
      <w:r w:rsidR="003D0DF5" w:rsidRPr="0051189E">
        <w:rPr>
          <w:rFonts w:eastAsia="Calibri" w:cs="Times New Roman"/>
          <w:bCs/>
          <w:color w:val="4288C8"/>
          <w:sz w:val="22"/>
          <w:szCs w:val="32"/>
        </w:rPr>
        <w:t>”. Taking into account the recency requirement for AVA data per Article 3a, the “same range” requirement in Article 3.1 could be interpreted as when AVA is based on a 30-day history, IPV shall do the same in order to align the data range with AVA. This contradicts the inten</w:t>
      </w:r>
      <w:r w:rsidR="00F94A91">
        <w:rPr>
          <w:rFonts w:eastAsia="Calibri" w:cs="Times New Roman"/>
          <w:bCs/>
          <w:color w:val="4288C8"/>
          <w:sz w:val="22"/>
          <w:szCs w:val="32"/>
        </w:rPr>
        <w:t>t</w:t>
      </w:r>
      <w:r w:rsidR="003D0DF5" w:rsidRPr="0051189E">
        <w:rPr>
          <w:rFonts w:eastAsia="Calibri" w:cs="Times New Roman"/>
          <w:bCs/>
          <w:color w:val="4288C8"/>
          <w:sz w:val="22"/>
          <w:szCs w:val="32"/>
        </w:rPr>
        <w:t xml:space="preserve">ion of IPV, i.e. to use the best quality data source rather than a range with </w:t>
      </w:r>
      <w:r w:rsidR="003D0DF5" w:rsidRPr="0051189E">
        <w:rPr>
          <w:rFonts w:eastAsia="Calibri" w:cs="Times New Roman"/>
          <w:bCs/>
          <w:color w:val="4288C8"/>
          <w:sz w:val="22"/>
          <w:szCs w:val="32"/>
        </w:rPr>
        <w:lastRenderedPageBreak/>
        <w:t xml:space="preserve">old data. To avoid such confusion, we kindly request </w:t>
      </w:r>
      <w:r w:rsidR="00F94A91">
        <w:rPr>
          <w:rFonts w:eastAsia="Calibri" w:cs="Times New Roman"/>
          <w:bCs/>
          <w:color w:val="4288C8"/>
          <w:sz w:val="22"/>
          <w:szCs w:val="32"/>
        </w:rPr>
        <w:t xml:space="preserve">the </w:t>
      </w:r>
      <w:r w:rsidR="003D0DF5" w:rsidRPr="0051189E">
        <w:rPr>
          <w:rFonts w:eastAsia="Calibri" w:cs="Times New Roman"/>
          <w:bCs/>
          <w:color w:val="4288C8"/>
          <w:sz w:val="22"/>
          <w:szCs w:val="32"/>
        </w:rPr>
        <w:t xml:space="preserve">EBA to consider rewording </w:t>
      </w:r>
      <w:r w:rsidR="00F94A91">
        <w:rPr>
          <w:rFonts w:eastAsia="Calibri" w:cs="Times New Roman"/>
          <w:bCs/>
          <w:color w:val="4288C8"/>
          <w:sz w:val="22"/>
          <w:szCs w:val="32"/>
        </w:rPr>
        <w:t xml:space="preserve">the </w:t>
      </w:r>
      <w:r w:rsidR="003D0DF5" w:rsidRPr="0051189E">
        <w:rPr>
          <w:rFonts w:eastAsia="Calibri" w:cs="Times New Roman"/>
          <w:bCs/>
          <w:color w:val="4288C8"/>
          <w:sz w:val="22"/>
          <w:szCs w:val="32"/>
        </w:rPr>
        <w:t>Article 3.1</w:t>
      </w:r>
      <w:r w:rsidR="00F94A91">
        <w:rPr>
          <w:rFonts w:eastAsia="Calibri" w:cs="Times New Roman"/>
          <w:bCs/>
          <w:color w:val="4288C8"/>
          <w:sz w:val="22"/>
          <w:szCs w:val="32"/>
        </w:rPr>
        <w:t xml:space="preserve"> into the following: </w:t>
      </w:r>
      <w:r w:rsidR="003D0DF5" w:rsidRPr="0051189E">
        <w:rPr>
          <w:rFonts w:eastAsia="Calibri" w:cs="Times New Roman"/>
          <w:bCs/>
          <w:color w:val="4288C8"/>
          <w:sz w:val="22"/>
          <w:szCs w:val="32"/>
        </w:rPr>
        <w:t>“</w:t>
      </w:r>
      <w:r w:rsidR="003D0DF5" w:rsidRPr="00F94A91">
        <w:rPr>
          <w:rFonts w:eastAsia="Calibri" w:cs="Times New Roman"/>
          <w:bCs/>
          <w:i/>
          <w:iCs/>
          <w:color w:val="4288C8"/>
          <w:sz w:val="22"/>
          <w:szCs w:val="32"/>
        </w:rPr>
        <w:t xml:space="preserve">institutions shall use at least the </w:t>
      </w:r>
      <w:r w:rsidR="003D0DF5" w:rsidRPr="00F94A91">
        <w:rPr>
          <w:rFonts w:eastAsia="Calibri" w:cs="Times New Roman"/>
          <w:b/>
          <w:i/>
          <w:iCs/>
          <w:color w:val="4288C8"/>
          <w:sz w:val="22"/>
          <w:szCs w:val="32"/>
        </w:rPr>
        <w:t>same source</w:t>
      </w:r>
      <w:r w:rsidR="003D0DF5" w:rsidRPr="00F94A91">
        <w:rPr>
          <w:rFonts w:eastAsia="Calibri" w:cs="Times New Roman"/>
          <w:bCs/>
          <w:i/>
          <w:iCs/>
          <w:color w:val="4288C8"/>
          <w:sz w:val="22"/>
          <w:szCs w:val="32"/>
        </w:rPr>
        <w:t xml:space="preserve"> of market data as a basis for calculating the AVA</w:t>
      </w:r>
      <w:r w:rsidR="005863D3">
        <w:rPr>
          <w:rFonts w:eastAsia="Calibri" w:cs="Times New Roman"/>
          <w:bCs/>
          <w:i/>
          <w:iCs/>
          <w:color w:val="4288C8"/>
          <w:sz w:val="22"/>
          <w:szCs w:val="32"/>
          <w:lang w:val="en-US"/>
        </w:rPr>
        <w:t>s</w:t>
      </w:r>
      <w:r w:rsidR="003D0DF5" w:rsidRPr="00F94A91">
        <w:rPr>
          <w:rFonts w:eastAsia="Calibri" w:cs="Times New Roman"/>
          <w:bCs/>
          <w:i/>
          <w:iCs/>
          <w:color w:val="4288C8"/>
          <w:sz w:val="22"/>
          <w:szCs w:val="32"/>
        </w:rPr>
        <w:t>, as they use in the IPV process</w:t>
      </w:r>
      <w:r w:rsidR="003D0DF5" w:rsidRPr="0051189E">
        <w:rPr>
          <w:rFonts w:eastAsia="Calibri" w:cs="Times New Roman"/>
          <w:bCs/>
          <w:color w:val="4288C8"/>
          <w:sz w:val="22"/>
          <w:szCs w:val="32"/>
        </w:rPr>
        <w:t>.”</w:t>
      </w:r>
      <w:bookmarkStart w:id="0" w:name="_Hlk163732825"/>
    </w:p>
    <w:bookmarkEnd w:id="0"/>
    <w:p w14:paraId="71B673C1" w14:textId="77777777" w:rsidR="00003D39" w:rsidRDefault="00003D39" w:rsidP="002F7174">
      <w:pPr>
        <w:tabs>
          <w:tab w:val="left" w:pos="2127"/>
        </w:tabs>
        <w:spacing w:after="0"/>
        <w:outlineLvl w:val="0"/>
        <w:rPr>
          <w:rFonts w:eastAsia="Calibri" w:cs="Times New Roman"/>
          <w:bCs/>
          <w:color w:val="4288C8"/>
          <w:sz w:val="22"/>
          <w:szCs w:val="32"/>
        </w:rPr>
      </w:pPr>
    </w:p>
    <w:p w14:paraId="7F0AB3B0" w14:textId="0A24C365" w:rsidR="002F7174" w:rsidRPr="00CA516C" w:rsidRDefault="002F7174" w:rsidP="002F7174">
      <w:pPr>
        <w:tabs>
          <w:tab w:val="left" w:pos="2127"/>
        </w:tabs>
        <w:spacing w:after="0"/>
        <w:outlineLvl w:val="0"/>
        <w:rPr>
          <w:rFonts w:eastAsia="Calibri" w:cs="Times New Roman"/>
          <w:bCs/>
          <w:color w:val="4288C8"/>
          <w:sz w:val="22"/>
          <w:szCs w:val="32"/>
          <w:lang w:val="en-US"/>
        </w:rPr>
      </w:pPr>
      <w:r w:rsidRPr="00A54D3C">
        <w:rPr>
          <w:rFonts w:eastAsia="Calibri" w:cs="Times New Roman"/>
          <w:bCs/>
          <w:color w:val="4288C8"/>
          <w:sz w:val="22"/>
          <w:szCs w:val="32"/>
        </w:rPr>
        <w:t xml:space="preserve">Regarding the use of consensus, banks agree that they should be robustly back tested like any other pricing source. This should be part of a systematic pricing source accuracy, reliability, tradability and eventually observability assessment. The RTS should not be source specific as reliability assessment also applies to other sources, </w:t>
      </w:r>
      <w:r w:rsidR="00F8161E" w:rsidRPr="00A54D3C">
        <w:rPr>
          <w:rFonts w:eastAsia="Calibri" w:cs="Times New Roman"/>
          <w:bCs/>
          <w:color w:val="4288C8"/>
          <w:sz w:val="22"/>
          <w:szCs w:val="32"/>
        </w:rPr>
        <w:t xml:space="preserve">but it should rather </w:t>
      </w:r>
      <w:r w:rsidRPr="00A54D3C">
        <w:rPr>
          <w:rFonts w:eastAsia="Calibri" w:cs="Times New Roman"/>
          <w:bCs/>
          <w:color w:val="4288C8"/>
          <w:sz w:val="22"/>
          <w:szCs w:val="32"/>
        </w:rPr>
        <w:t>be comparable analysis, evaluated pricing</w:t>
      </w:r>
      <w:r w:rsidR="00CA516C">
        <w:rPr>
          <w:rFonts w:eastAsia="Calibri" w:cs="Times New Roman"/>
          <w:bCs/>
          <w:color w:val="4288C8"/>
          <w:sz w:val="22"/>
          <w:szCs w:val="32"/>
        </w:rPr>
        <w:t xml:space="preserve"> </w:t>
      </w:r>
      <w:r w:rsidR="00AC7CCE" w:rsidRPr="00CA516C">
        <w:rPr>
          <w:rFonts w:eastAsia="Calibri" w:cs="Times New Roman"/>
          <w:bCs/>
          <w:color w:val="4288C8"/>
          <w:sz w:val="22"/>
          <w:szCs w:val="32"/>
        </w:rPr>
        <w:t>or broker quotes</w:t>
      </w:r>
      <w:r w:rsidRPr="00CA516C">
        <w:rPr>
          <w:rFonts w:eastAsia="Calibri" w:cs="Times New Roman"/>
          <w:bCs/>
          <w:color w:val="4288C8"/>
          <w:sz w:val="22"/>
          <w:szCs w:val="32"/>
        </w:rPr>
        <w:t>.</w:t>
      </w:r>
      <w:r w:rsidR="0046776F" w:rsidRPr="00CA516C">
        <w:rPr>
          <w:rFonts w:eastAsia="Calibri" w:cs="Times New Roman"/>
          <w:bCs/>
          <w:color w:val="4288C8"/>
          <w:sz w:val="22"/>
          <w:szCs w:val="32"/>
          <w:lang w:val="en-US"/>
        </w:rPr>
        <w:t xml:space="preserve"> </w:t>
      </w:r>
    </w:p>
    <w:p w14:paraId="184DE1DF" w14:textId="77777777" w:rsidR="00041D7F" w:rsidRDefault="00041D7F" w:rsidP="002F7174">
      <w:pPr>
        <w:tabs>
          <w:tab w:val="left" w:pos="2127"/>
        </w:tabs>
        <w:spacing w:after="0"/>
        <w:outlineLvl w:val="0"/>
        <w:rPr>
          <w:rFonts w:eastAsia="Calibri" w:cs="Times New Roman"/>
          <w:bCs/>
          <w:color w:val="4288C8"/>
          <w:sz w:val="22"/>
          <w:szCs w:val="32"/>
          <w:lang w:val="en-US"/>
        </w:rPr>
      </w:pPr>
    </w:p>
    <w:p w14:paraId="4B1AA818" w14:textId="2ADF4616" w:rsidR="00041D7F" w:rsidRPr="00041D7F" w:rsidRDefault="00041D7F" w:rsidP="002F7174">
      <w:pPr>
        <w:tabs>
          <w:tab w:val="left" w:pos="2127"/>
        </w:tabs>
        <w:spacing w:after="0"/>
        <w:contextualSpacing/>
        <w:outlineLvl w:val="0"/>
        <w:rPr>
          <w:rFonts w:eastAsia="Calibri" w:cs="Times New Roman"/>
          <w:bCs/>
          <w:color w:val="4288C8"/>
          <w:sz w:val="22"/>
          <w:szCs w:val="32"/>
          <w:lang w:val="en-US"/>
        </w:rPr>
      </w:pPr>
      <w:r>
        <w:rPr>
          <w:rFonts w:eastAsia="Calibri" w:cs="Times New Roman"/>
          <w:bCs/>
          <w:color w:val="4288C8"/>
          <w:sz w:val="22"/>
          <w:szCs w:val="32"/>
          <w:lang w:val="en-US"/>
        </w:rPr>
        <w:t xml:space="preserve">However, the classification of historical data that date back more than 1 month, as expert judgement will effectively increase the portion of AVA classified as expert judgement despite the existence of reliable data. As a consequence, banks are </w:t>
      </w:r>
      <w:r w:rsidR="005578CE">
        <w:rPr>
          <w:rFonts w:eastAsia="Calibri" w:cs="Times New Roman"/>
          <w:bCs/>
          <w:color w:val="4288C8"/>
          <w:sz w:val="22"/>
          <w:szCs w:val="32"/>
          <w:lang w:val="en-US"/>
        </w:rPr>
        <w:t xml:space="preserve">being </w:t>
      </w:r>
      <w:r>
        <w:rPr>
          <w:rFonts w:eastAsia="Calibri" w:cs="Times New Roman"/>
          <w:bCs/>
          <w:color w:val="4288C8"/>
          <w:sz w:val="22"/>
          <w:szCs w:val="32"/>
          <w:lang w:val="en-US"/>
        </w:rPr>
        <w:t>forced to favour non-binding consensus rather than actual traded prices. Therefore, we propose to allow the use of transaction pricing data for up to 3 months in “Data Range” approaches with necessary adjustments if market conditions at the reporting date are materially</w:t>
      </w:r>
      <w:r w:rsidR="005578CE">
        <w:rPr>
          <w:rFonts w:eastAsia="Calibri" w:cs="Times New Roman"/>
          <w:bCs/>
          <w:color w:val="4288C8"/>
          <w:sz w:val="22"/>
          <w:szCs w:val="32"/>
          <w:lang w:val="en-US"/>
        </w:rPr>
        <w:t xml:space="preserve"> </w:t>
      </w:r>
      <w:r>
        <w:rPr>
          <w:rFonts w:eastAsia="Calibri" w:cs="Times New Roman"/>
          <w:bCs/>
          <w:color w:val="4288C8"/>
          <w:sz w:val="22"/>
          <w:szCs w:val="32"/>
          <w:lang w:val="en-US"/>
        </w:rPr>
        <w:t>different</w:t>
      </w:r>
      <w:r w:rsidR="005578CE">
        <w:rPr>
          <w:rFonts w:eastAsia="Calibri" w:cs="Times New Roman"/>
          <w:bCs/>
          <w:color w:val="4288C8"/>
          <w:sz w:val="22"/>
          <w:szCs w:val="32"/>
          <w:lang w:val="en-US"/>
        </w:rPr>
        <w:t xml:space="preserve"> </w:t>
      </w:r>
      <w:r>
        <w:rPr>
          <w:rFonts w:eastAsia="Calibri" w:cs="Times New Roman"/>
          <w:bCs/>
          <w:color w:val="4288C8"/>
          <w:sz w:val="22"/>
          <w:szCs w:val="32"/>
          <w:lang w:val="en-US"/>
        </w:rPr>
        <w:t>from</w:t>
      </w:r>
      <w:r w:rsidR="005578CE">
        <w:rPr>
          <w:rFonts w:eastAsia="Calibri" w:cs="Times New Roman"/>
          <w:bCs/>
          <w:color w:val="4288C8"/>
          <w:sz w:val="22"/>
          <w:szCs w:val="32"/>
          <w:lang w:val="en-US"/>
        </w:rPr>
        <w:t xml:space="preserve"> </w:t>
      </w:r>
      <w:r>
        <w:rPr>
          <w:rFonts w:eastAsia="Calibri" w:cs="Times New Roman"/>
          <w:bCs/>
          <w:color w:val="4288C8"/>
          <w:sz w:val="22"/>
          <w:szCs w:val="32"/>
          <w:lang w:val="en-US"/>
        </w:rPr>
        <w:t>those</w:t>
      </w:r>
      <w:r w:rsidR="005578CE">
        <w:rPr>
          <w:rFonts w:eastAsia="Calibri" w:cs="Times New Roman"/>
          <w:bCs/>
          <w:color w:val="4288C8"/>
          <w:sz w:val="22"/>
          <w:szCs w:val="32"/>
          <w:lang w:val="en-US"/>
        </w:rPr>
        <w:t xml:space="preserve"> </w:t>
      </w:r>
      <w:r>
        <w:rPr>
          <w:rFonts w:eastAsia="Calibri" w:cs="Times New Roman"/>
          <w:bCs/>
          <w:color w:val="4288C8"/>
          <w:sz w:val="22"/>
          <w:szCs w:val="32"/>
          <w:lang w:val="en-US"/>
        </w:rPr>
        <w:t>3</w:t>
      </w:r>
      <w:r w:rsidR="005578CE">
        <w:rPr>
          <w:rFonts w:eastAsia="Calibri" w:cs="Times New Roman"/>
          <w:bCs/>
          <w:color w:val="4288C8"/>
          <w:sz w:val="22"/>
          <w:szCs w:val="32"/>
          <w:lang w:val="en-US"/>
        </w:rPr>
        <w:t xml:space="preserve"> </w:t>
      </w:r>
      <w:r>
        <w:rPr>
          <w:rFonts w:eastAsia="Calibri" w:cs="Times New Roman"/>
          <w:bCs/>
          <w:color w:val="4288C8"/>
          <w:sz w:val="22"/>
          <w:szCs w:val="32"/>
          <w:lang w:val="en-US"/>
        </w:rPr>
        <w:t xml:space="preserve">months earlier. </w:t>
      </w:r>
    </w:p>
    <w:p w14:paraId="589C74ED" w14:textId="77777777" w:rsidR="002F7174" w:rsidRPr="00F57924" w:rsidRDefault="002F7174" w:rsidP="002F7174">
      <w:pPr>
        <w:tabs>
          <w:tab w:val="left" w:pos="2127"/>
        </w:tabs>
        <w:spacing w:after="0"/>
        <w:outlineLvl w:val="0"/>
        <w:rPr>
          <w:rFonts w:eastAsia="Calibri" w:cs="Times New Roman"/>
          <w:bCs/>
          <w:color w:val="4288C8"/>
          <w:szCs w:val="28"/>
        </w:rPr>
      </w:pPr>
    </w:p>
    <w:p w14:paraId="053E8A08" w14:textId="5BCF7F3C" w:rsidR="002F7174" w:rsidRPr="00C37728" w:rsidRDefault="002F7174" w:rsidP="002F7174">
      <w:pPr>
        <w:tabs>
          <w:tab w:val="left" w:pos="2127"/>
        </w:tabs>
        <w:spacing w:after="0"/>
        <w:outlineLvl w:val="0"/>
        <w:rPr>
          <w:rFonts w:eastAsia="Calibri" w:cs="Times New Roman"/>
          <w:bCs/>
          <w:color w:val="4288C8"/>
          <w:sz w:val="22"/>
          <w:szCs w:val="32"/>
        </w:rPr>
      </w:pPr>
      <w:r w:rsidRPr="00C37728">
        <w:rPr>
          <w:rFonts w:eastAsia="Calibri" w:cs="Times New Roman"/>
          <w:bCs/>
          <w:color w:val="4288C8"/>
          <w:sz w:val="22"/>
          <w:szCs w:val="32"/>
        </w:rPr>
        <w:t xml:space="preserve">The threshold of 10 contributors in consensus data seems </w:t>
      </w:r>
      <w:r w:rsidR="00F8161E" w:rsidRPr="00C37728">
        <w:rPr>
          <w:rFonts w:eastAsia="Calibri" w:cs="Times New Roman"/>
          <w:bCs/>
          <w:color w:val="4288C8"/>
          <w:sz w:val="22"/>
          <w:szCs w:val="32"/>
        </w:rPr>
        <w:t>excessive</w:t>
      </w:r>
      <w:r w:rsidRPr="00C37728">
        <w:rPr>
          <w:rFonts w:eastAsia="Calibri" w:cs="Times New Roman"/>
          <w:bCs/>
          <w:color w:val="4288C8"/>
          <w:sz w:val="22"/>
          <w:szCs w:val="32"/>
        </w:rPr>
        <w:t xml:space="preserve"> and is not justified.</w:t>
      </w:r>
      <w:r w:rsidR="00EA6837">
        <w:rPr>
          <w:rFonts w:eastAsia="Calibri" w:cs="Times New Roman"/>
          <w:bCs/>
          <w:color w:val="4288C8"/>
          <w:sz w:val="22"/>
          <w:szCs w:val="32"/>
        </w:rPr>
        <w:t xml:space="preserve"> </w:t>
      </w:r>
      <w:r w:rsidRPr="00C37728">
        <w:rPr>
          <w:rFonts w:eastAsia="Calibri" w:cs="Times New Roman"/>
          <w:bCs/>
          <w:color w:val="4288C8"/>
          <w:sz w:val="22"/>
          <w:szCs w:val="32"/>
        </w:rPr>
        <w:t xml:space="preserve">Moreover, if the number of participants in a consensus service was moving from 10 on one </w:t>
      </w:r>
      <w:r w:rsidR="00F8161E" w:rsidRPr="00C37728">
        <w:rPr>
          <w:rFonts w:eastAsia="Calibri" w:cs="Times New Roman"/>
          <w:bCs/>
          <w:color w:val="4288C8"/>
          <w:sz w:val="22"/>
          <w:szCs w:val="32"/>
        </w:rPr>
        <w:t xml:space="preserve">given </w:t>
      </w:r>
      <w:r w:rsidRPr="00C37728">
        <w:rPr>
          <w:rFonts w:eastAsia="Calibri" w:cs="Times New Roman"/>
          <w:bCs/>
          <w:color w:val="4288C8"/>
          <w:sz w:val="22"/>
          <w:szCs w:val="32"/>
        </w:rPr>
        <w:t>reporting date to 9 on the next</w:t>
      </w:r>
      <w:r w:rsidR="00F8161E" w:rsidRPr="00C37728">
        <w:rPr>
          <w:rFonts w:eastAsia="Calibri" w:cs="Times New Roman"/>
          <w:bCs/>
          <w:color w:val="4288C8"/>
          <w:sz w:val="22"/>
          <w:szCs w:val="32"/>
        </w:rPr>
        <w:t xml:space="preserve"> </w:t>
      </w:r>
      <w:r w:rsidR="00D936D6" w:rsidRPr="00C37728">
        <w:rPr>
          <w:rFonts w:eastAsia="Calibri" w:cs="Times New Roman"/>
          <w:bCs/>
          <w:color w:val="4288C8"/>
          <w:sz w:val="22"/>
          <w:szCs w:val="32"/>
        </w:rPr>
        <w:t>given reporting</w:t>
      </w:r>
      <w:r w:rsidRPr="00C37728">
        <w:rPr>
          <w:rFonts w:eastAsia="Calibri" w:cs="Times New Roman"/>
          <w:bCs/>
          <w:color w:val="4288C8"/>
          <w:sz w:val="22"/>
          <w:szCs w:val="32"/>
        </w:rPr>
        <w:t xml:space="preserve"> date, would </w:t>
      </w:r>
      <w:r w:rsidR="00F8161E" w:rsidRPr="00C37728">
        <w:rPr>
          <w:rFonts w:eastAsia="Calibri" w:cs="Times New Roman"/>
          <w:bCs/>
          <w:color w:val="4288C8"/>
          <w:sz w:val="22"/>
          <w:szCs w:val="32"/>
        </w:rPr>
        <w:t>the industry</w:t>
      </w:r>
      <w:r w:rsidRPr="00C37728">
        <w:rPr>
          <w:rFonts w:eastAsia="Calibri" w:cs="Times New Roman"/>
          <w:bCs/>
          <w:color w:val="4288C8"/>
          <w:sz w:val="22"/>
          <w:szCs w:val="32"/>
        </w:rPr>
        <w:t xml:space="preserve"> need to change the categorisation from range-based to expert based?</w:t>
      </w:r>
    </w:p>
    <w:p w14:paraId="4B4217E4" w14:textId="77777777" w:rsidR="002F7174" w:rsidRPr="00C37728" w:rsidRDefault="002F7174" w:rsidP="002F7174">
      <w:pPr>
        <w:tabs>
          <w:tab w:val="left" w:pos="2127"/>
        </w:tabs>
        <w:spacing w:after="0"/>
        <w:outlineLvl w:val="0"/>
        <w:rPr>
          <w:rFonts w:eastAsia="Calibri" w:cs="Times New Roman"/>
          <w:bCs/>
          <w:color w:val="4288C8"/>
          <w:sz w:val="22"/>
          <w:szCs w:val="32"/>
        </w:rPr>
      </w:pPr>
    </w:p>
    <w:p w14:paraId="419B6E81" w14:textId="5D8D6112" w:rsidR="002F7174" w:rsidRPr="00C37728" w:rsidRDefault="00F8161E" w:rsidP="002F7174">
      <w:pPr>
        <w:tabs>
          <w:tab w:val="left" w:pos="2127"/>
        </w:tabs>
        <w:spacing w:after="0"/>
        <w:outlineLvl w:val="0"/>
        <w:rPr>
          <w:rFonts w:eastAsia="Calibri" w:cs="Times New Roman"/>
          <w:bCs/>
          <w:color w:val="4288C8"/>
          <w:sz w:val="22"/>
          <w:szCs w:val="32"/>
        </w:rPr>
      </w:pPr>
      <w:r w:rsidRPr="00C37728">
        <w:rPr>
          <w:rFonts w:eastAsia="Calibri" w:cs="Times New Roman"/>
          <w:bCs/>
          <w:color w:val="4288C8"/>
          <w:sz w:val="22"/>
          <w:szCs w:val="32"/>
        </w:rPr>
        <w:t>Therefore, i</w:t>
      </w:r>
      <w:r w:rsidR="002F7174" w:rsidRPr="00C37728">
        <w:rPr>
          <w:rFonts w:eastAsia="Calibri" w:cs="Times New Roman"/>
          <w:bCs/>
          <w:color w:val="4288C8"/>
          <w:sz w:val="22"/>
          <w:szCs w:val="32"/>
        </w:rPr>
        <w:t xml:space="preserve">t creates a wrong incentive for consensus providers to look for less active market participants to increase the number of contributors. The 10 contributors threshold would be also anti-competitive as it would </w:t>
      </w:r>
      <w:r w:rsidR="00E66630" w:rsidRPr="00C37728">
        <w:rPr>
          <w:rFonts w:eastAsia="Calibri" w:cs="Times New Roman"/>
          <w:bCs/>
          <w:color w:val="4288C8"/>
          <w:sz w:val="22"/>
          <w:szCs w:val="32"/>
        </w:rPr>
        <w:t>favour</w:t>
      </w:r>
      <w:r w:rsidR="002F7174" w:rsidRPr="00C37728">
        <w:rPr>
          <w:rFonts w:eastAsia="Calibri" w:cs="Times New Roman"/>
          <w:bCs/>
          <w:color w:val="4288C8"/>
          <w:sz w:val="22"/>
          <w:szCs w:val="32"/>
        </w:rPr>
        <w:t xml:space="preserve"> established consensus services at the expense of emerging services: new entrants would be </w:t>
      </w:r>
      <w:r w:rsidR="00C37728" w:rsidRPr="00C37728">
        <w:rPr>
          <w:rFonts w:eastAsia="Calibri" w:cs="Times New Roman"/>
          <w:bCs/>
          <w:color w:val="4288C8"/>
          <w:sz w:val="22"/>
          <w:szCs w:val="32"/>
        </w:rPr>
        <w:t xml:space="preserve">discouraged and </w:t>
      </w:r>
      <w:r w:rsidR="002F7174" w:rsidRPr="00C37728">
        <w:rPr>
          <w:rFonts w:eastAsia="Calibri" w:cs="Times New Roman"/>
          <w:bCs/>
          <w:color w:val="4288C8"/>
          <w:sz w:val="22"/>
          <w:szCs w:val="32"/>
        </w:rPr>
        <w:t xml:space="preserve">deterred. Conversely, it might create a wrong incentive for consensus services to aggressively look for a 10th contributor which may just deteriorate the quality of the service. Technically, there are curve or surface services where some risk points receive more than 10 contributions, some other less than 10 points, which would make the implementation very complex. We </w:t>
      </w:r>
      <w:r w:rsidR="008021D0">
        <w:rPr>
          <w:rFonts w:eastAsia="Calibri" w:cs="Times New Roman"/>
          <w:bCs/>
          <w:color w:val="4288C8"/>
          <w:sz w:val="22"/>
          <w:szCs w:val="32"/>
        </w:rPr>
        <w:t>observe</w:t>
      </w:r>
      <w:r w:rsidR="002F7174" w:rsidRPr="00C37728">
        <w:rPr>
          <w:rFonts w:eastAsia="Calibri" w:cs="Times New Roman"/>
          <w:bCs/>
          <w:color w:val="4288C8"/>
          <w:sz w:val="22"/>
          <w:szCs w:val="32"/>
        </w:rPr>
        <w:t xml:space="preserve"> that the 5 main dealers often account for 50% of market volumes /market shares</w:t>
      </w:r>
      <w:r w:rsidR="008021D0">
        <w:rPr>
          <w:rStyle w:val="FootnoteReference"/>
          <w:rFonts w:eastAsia="Calibri" w:cs="Times New Roman"/>
          <w:bCs/>
          <w:color w:val="4288C8"/>
          <w:sz w:val="22"/>
          <w:szCs w:val="32"/>
        </w:rPr>
        <w:footnoteReference w:id="2"/>
      </w:r>
      <w:r w:rsidR="008021D0">
        <w:rPr>
          <w:rFonts w:eastAsia="Calibri" w:cs="Times New Roman"/>
          <w:bCs/>
          <w:color w:val="4288C8"/>
          <w:sz w:val="22"/>
          <w:szCs w:val="32"/>
        </w:rPr>
        <w:t xml:space="preserve">, </w:t>
      </w:r>
      <w:r w:rsidR="002F7174" w:rsidRPr="00C37728">
        <w:rPr>
          <w:rFonts w:eastAsia="Calibri" w:cs="Times New Roman"/>
          <w:bCs/>
          <w:color w:val="4288C8"/>
          <w:sz w:val="22"/>
          <w:szCs w:val="32"/>
        </w:rPr>
        <w:t>which should be representative enough to calibrate an appropriate range of uncertainty. One may wonder if the split range based/</w:t>
      </w:r>
      <w:r w:rsidR="00880941">
        <w:rPr>
          <w:rFonts w:eastAsia="Calibri" w:cs="Times New Roman"/>
          <w:bCs/>
          <w:color w:val="4288C8"/>
          <w:sz w:val="22"/>
          <w:szCs w:val="32"/>
          <w:lang w:val="en-US"/>
        </w:rPr>
        <w:t>e</w:t>
      </w:r>
      <w:proofErr w:type="spellStart"/>
      <w:r w:rsidR="002F7174" w:rsidRPr="00C37728">
        <w:rPr>
          <w:rFonts w:eastAsia="Calibri" w:cs="Times New Roman"/>
          <w:bCs/>
          <w:color w:val="4288C8"/>
          <w:sz w:val="22"/>
          <w:szCs w:val="32"/>
        </w:rPr>
        <w:t>xpert</w:t>
      </w:r>
      <w:proofErr w:type="spellEnd"/>
      <w:r w:rsidR="002F7174" w:rsidRPr="00C37728">
        <w:rPr>
          <w:rFonts w:eastAsia="Calibri" w:cs="Times New Roman"/>
          <w:bCs/>
          <w:color w:val="4288C8"/>
          <w:sz w:val="22"/>
          <w:szCs w:val="32"/>
        </w:rPr>
        <w:t xml:space="preserve"> judgment eventually just duplicate the fair value hierarchy assigned to valuation inputs.</w:t>
      </w:r>
    </w:p>
    <w:p w14:paraId="02EB1B31" w14:textId="046ABF43" w:rsidR="002F7174" w:rsidRPr="00C37728" w:rsidRDefault="002F7174" w:rsidP="002F7174">
      <w:pPr>
        <w:tabs>
          <w:tab w:val="left" w:pos="2127"/>
        </w:tabs>
        <w:spacing w:after="0"/>
        <w:outlineLvl w:val="0"/>
        <w:rPr>
          <w:rFonts w:eastAsia="Calibri" w:cs="Times New Roman"/>
          <w:bCs/>
          <w:color w:val="4288C8"/>
          <w:sz w:val="22"/>
          <w:szCs w:val="32"/>
        </w:rPr>
      </w:pPr>
      <w:r w:rsidRPr="00C37728">
        <w:rPr>
          <w:rFonts w:eastAsia="Calibri" w:cs="Times New Roman"/>
          <w:bCs/>
          <w:color w:val="4288C8"/>
          <w:sz w:val="22"/>
          <w:szCs w:val="32"/>
        </w:rPr>
        <w:t xml:space="preserve">As a general concern, we consider that excluding available data from the scope of eligible information to support range-based approaches is by definition a wrong approach as a large scope of potentially eligible information is the best way to support over the long term a reliable use of market information. The implementation, the weight given to the different information, and the prudence </w:t>
      </w:r>
      <w:r w:rsidRPr="00C37728">
        <w:rPr>
          <w:rFonts w:eastAsia="Calibri" w:cs="Times New Roman"/>
          <w:bCs/>
          <w:color w:val="4288C8"/>
          <w:sz w:val="22"/>
          <w:szCs w:val="32"/>
        </w:rPr>
        <w:lastRenderedPageBreak/>
        <w:t xml:space="preserve">level in the utilization of data should then be applied when the quality of information (including </w:t>
      </w:r>
      <w:r w:rsidR="007A293E" w:rsidRPr="0003235F">
        <w:rPr>
          <w:rFonts w:eastAsia="Calibri" w:cs="Times New Roman"/>
          <w:bCs/>
          <w:color w:val="4288C8"/>
          <w:sz w:val="22"/>
          <w:szCs w:val="32"/>
        </w:rPr>
        <w:t xml:space="preserve">if relevant the </w:t>
      </w:r>
      <w:r w:rsidRPr="00C37728">
        <w:rPr>
          <w:rFonts w:eastAsia="Calibri" w:cs="Times New Roman"/>
          <w:bCs/>
          <w:color w:val="4288C8"/>
          <w:sz w:val="22"/>
          <w:szCs w:val="32"/>
        </w:rPr>
        <w:t>number of contributors) is reduced.</w:t>
      </w:r>
    </w:p>
    <w:p w14:paraId="107ECF7D" w14:textId="77777777" w:rsidR="002F7174" w:rsidRPr="00F57924" w:rsidRDefault="002F7174" w:rsidP="002F7174">
      <w:pPr>
        <w:tabs>
          <w:tab w:val="left" w:pos="2127"/>
        </w:tabs>
        <w:spacing w:after="0"/>
        <w:outlineLvl w:val="0"/>
        <w:rPr>
          <w:rFonts w:eastAsia="Calibri" w:cs="Times New Roman"/>
          <w:bCs/>
          <w:color w:val="4288C8"/>
          <w:szCs w:val="28"/>
        </w:rPr>
      </w:pPr>
    </w:p>
    <w:p w14:paraId="6BEABA16" w14:textId="70E7E120" w:rsidR="002F7174" w:rsidRPr="00C37728" w:rsidRDefault="002F7174" w:rsidP="002F7174">
      <w:pPr>
        <w:tabs>
          <w:tab w:val="left" w:pos="2127"/>
        </w:tabs>
        <w:spacing w:after="0"/>
        <w:outlineLvl w:val="0"/>
        <w:rPr>
          <w:rFonts w:eastAsia="Calibri" w:cs="Times New Roman"/>
          <w:bCs/>
          <w:color w:val="4288C8"/>
          <w:sz w:val="22"/>
          <w:szCs w:val="32"/>
        </w:rPr>
      </w:pPr>
      <w:r w:rsidRPr="00C37728">
        <w:rPr>
          <w:rFonts w:eastAsia="Calibri" w:cs="Times New Roman"/>
          <w:bCs/>
          <w:color w:val="4288C8"/>
          <w:sz w:val="22"/>
          <w:szCs w:val="32"/>
        </w:rPr>
        <w:t xml:space="preserve">However, if the </w:t>
      </w:r>
      <w:r w:rsidR="006E7CF2" w:rsidRPr="006E7CF2">
        <w:rPr>
          <w:rFonts w:eastAsia="Calibri" w:cs="Times New Roman"/>
          <w:bCs/>
          <w:color w:val="4288C8"/>
          <w:sz w:val="22"/>
          <w:szCs w:val="32"/>
        </w:rPr>
        <w:t>EBA</w:t>
      </w:r>
      <w:r w:rsidR="006E7CF2" w:rsidRPr="00C37728">
        <w:rPr>
          <w:rFonts w:eastAsia="Calibri" w:cs="Times New Roman"/>
          <w:bCs/>
          <w:color w:val="4288C8"/>
          <w:sz w:val="22"/>
          <w:szCs w:val="32"/>
        </w:rPr>
        <w:t xml:space="preserve"> </w:t>
      </w:r>
      <w:r w:rsidR="00F57924" w:rsidRPr="00C37728">
        <w:rPr>
          <w:rFonts w:eastAsia="Calibri" w:cs="Times New Roman"/>
          <w:bCs/>
          <w:color w:val="4288C8"/>
          <w:sz w:val="22"/>
          <w:szCs w:val="32"/>
        </w:rPr>
        <w:t>would like</w:t>
      </w:r>
      <w:r w:rsidRPr="00C37728">
        <w:rPr>
          <w:rFonts w:eastAsia="Calibri" w:cs="Times New Roman"/>
          <w:bCs/>
          <w:color w:val="4288C8"/>
          <w:sz w:val="22"/>
          <w:szCs w:val="32"/>
        </w:rPr>
        <w:t xml:space="preserve"> to keep this threshold, it should be estimated consensus service by consensus service depending on the product complexity, the existence of the “reducing risk market” and the parameter’s intrinsic variance (e.g. if the whole market has the same view a limited number of active market participants may be sufficient). Besides, more insight on what is considered a suitable consensus service data would be welcome.</w:t>
      </w:r>
    </w:p>
    <w:p w14:paraId="26F1E05F" w14:textId="77777777" w:rsidR="002F7174" w:rsidRPr="00C37728" w:rsidRDefault="002F7174" w:rsidP="002F7174">
      <w:pPr>
        <w:tabs>
          <w:tab w:val="left" w:pos="2127"/>
        </w:tabs>
        <w:spacing w:after="0"/>
        <w:outlineLvl w:val="0"/>
        <w:rPr>
          <w:rFonts w:eastAsia="Calibri" w:cs="Times New Roman"/>
          <w:bCs/>
          <w:color w:val="4288C8"/>
          <w:sz w:val="22"/>
          <w:szCs w:val="32"/>
        </w:rPr>
      </w:pPr>
    </w:p>
    <w:p w14:paraId="7384DF6A" w14:textId="13D1D0CD" w:rsidR="00F70C05" w:rsidRDefault="00F70C05" w:rsidP="002F7174">
      <w:pPr>
        <w:tabs>
          <w:tab w:val="left" w:pos="2127"/>
        </w:tabs>
        <w:spacing w:after="0"/>
        <w:outlineLvl w:val="0"/>
        <w:rPr>
          <w:rFonts w:eastAsia="Calibri" w:cs="Times New Roman"/>
          <w:bCs/>
          <w:color w:val="4288C8"/>
          <w:sz w:val="22"/>
          <w:szCs w:val="32"/>
        </w:rPr>
      </w:pPr>
      <w:r>
        <w:rPr>
          <w:rFonts w:eastAsia="Calibri" w:cs="Times New Roman"/>
          <w:bCs/>
          <w:color w:val="4288C8"/>
          <w:sz w:val="22"/>
          <w:szCs w:val="32"/>
        </w:rPr>
        <w:t>In addition, r</w:t>
      </w:r>
      <w:r w:rsidRPr="00F70C05">
        <w:rPr>
          <w:rFonts w:eastAsia="Calibri" w:cs="Times New Roman"/>
          <w:bCs/>
          <w:color w:val="4288C8"/>
          <w:sz w:val="22"/>
          <w:szCs w:val="32"/>
        </w:rPr>
        <w:t>egarding Article 3.2.(d), “</w:t>
      </w:r>
      <w:r w:rsidRPr="00F70C05">
        <w:rPr>
          <w:rFonts w:eastAsia="Calibri" w:cs="Times New Roman"/>
          <w:bCs/>
          <w:i/>
          <w:iCs/>
          <w:color w:val="4288C8"/>
          <w:sz w:val="22"/>
          <w:szCs w:val="32"/>
        </w:rPr>
        <w:t>consensus service data where the number of contributors is greater than or equal to 10 and the institution has performed a valuation back testing</w:t>
      </w:r>
      <w:r w:rsidRPr="00F70C05">
        <w:rPr>
          <w:rFonts w:eastAsia="Calibri" w:cs="Times New Roman"/>
          <w:bCs/>
          <w:color w:val="4288C8"/>
          <w:sz w:val="22"/>
          <w:szCs w:val="32"/>
        </w:rPr>
        <w:t>”, we kindly request</w:t>
      </w:r>
      <w:r>
        <w:rPr>
          <w:rFonts w:eastAsia="Calibri" w:cs="Times New Roman"/>
          <w:bCs/>
          <w:color w:val="4288C8"/>
          <w:sz w:val="22"/>
          <w:szCs w:val="32"/>
        </w:rPr>
        <w:t xml:space="preserve"> the</w:t>
      </w:r>
      <w:r w:rsidRPr="00F70C05">
        <w:rPr>
          <w:rFonts w:eastAsia="Calibri" w:cs="Times New Roman"/>
          <w:bCs/>
          <w:color w:val="4288C8"/>
          <w:sz w:val="22"/>
          <w:szCs w:val="32"/>
        </w:rPr>
        <w:t xml:space="preserve"> EBA</w:t>
      </w:r>
      <w:r>
        <w:rPr>
          <w:rFonts w:eastAsia="Calibri" w:cs="Times New Roman"/>
          <w:bCs/>
          <w:color w:val="4288C8"/>
          <w:sz w:val="22"/>
          <w:szCs w:val="32"/>
        </w:rPr>
        <w:t xml:space="preserve"> to</w:t>
      </w:r>
      <w:r w:rsidRPr="00F70C05">
        <w:rPr>
          <w:rFonts w:eastAsia="Calibri" w:cs="Times New Roman"/>
          <w:bCs/>
          <w:color w:val="4288C8"/>
          <w:sz w:val="22"/>
          <w:szCs w:val="32"/>
        </w:rPr>
        <w:t xml:space="preserve"> consider rewording</w:t>
      </w:r>
      <w:r>
        <w:rPr>
          <w:rFonts w:eastAsia="Calibri" w:cs="Times New Roman"/>
          <w:bCs/>
          <w:color w:val="4288C8"/>
          <w:sz w:val="22"/>
          <w:szCs w:val="32"/>
        </w:rPr>
        <w:t xml:space="preserve"> it</w:t>
      </w:r>
      <w:r w:rsidRPr="00F70C05">
        <w:rPr>
          <w:rFonts w:eastAsia="Calibri" w:cs="Times New Roman"/>
          <w:bCs/>
          <w:color w:val="4288C8"/>
          <w:sz w:val="22"/>
          <w:szCs w:val="32"/>
        </w:rPr>
        <w:t xml:space="preserve"> into “</w:t>
      </w:r>
      <w:r w:rsidRPr="00F70C05">
        <w:rPr>
          <w:rFonts w:eastAsia="Calibri" w:cs="Times New Roman"/>
          <w:bCs/>
          <w:i/>
          <w:iCs/>
          <w:color w:val="4288C8"/>
          <w:sz w:val="22"/>
          <w:szCs w:val="32"/>
        </w:rPr>
        <w:t>consensus service data where</w:t>
      </w:r>
      <w:r>
        <w:rPr>
          <w:rFonts w:eastAsia="Calibri" w:cs="Times New Roman"/>
          <w:bCs/>
          <w:color w:val="4288C8"/>
          <w:sz w:val="22"/>
          <w:szCs w:val="32"/>
        </w:rPr>
        <w:t xml:space="preserve"> […] </w:t>
      </w:r>
      <w:r w:rsidRPr="00F70C05">
        <w:rPr>
          <w:rFonts w:eastAsia="Calibri" w:cs="Times New Roman"/>
          <w:bCs/>
          <w:color w:val="4288C8"/>
          <w:sz w:val="22"/>
          <w:szCs w:val="32"/>
        </w:rPr>
        <w:t>and a valuation back testing is performed”</w:t>
      </w:r>
      <w:r w:rsidR="00337FE2">
        <w:rPr>
          <w:rFonts w:eastAsia="Calibri" w:cs="Times New Roman"/>
          <w:bCs/>
          <w:color w:val="4288C8"/>
          <w:sz w:val="22"/>
          <w:szCs w:val="32"/>
        </w:rPr>
        <w:t xml:space="preserve"> </w:t>
      </w:r>
      <w:bookmarkStart w:id="1" w:name="_Hlk163733141"/>
      <w:r w:rsidR="00337FE2">
        <w:rPr>
          <w:rFonts w:eastAsia="Calibri" w:cs="Times New Roman"/>
          <w:bCs/>
          <w:color w:val="4288C8"/>
          <w:sz w:val="22"/>
          <w:szCs w:val="32"/>
        </w:rPr>
        <w:t xml:space="preserve">as the text should not be restricted to in-house </w:t>
      </w:r>
      <w:proofErr w:type="spellStart"/>
      <w:r w:rsidR="00337FE2">
        <w:rPr>
          <w:rFonts w:eastAsia="Calibri" w:cs="Times New Roman"/>
          <w:bCs/>
          <w:color w:val="4288C8"/>
          <w:sz w:val="22"/>
          <w:szCs w:val="32"/>
        </w:rPr>
        <w:t>backtesting</w:t>
      </w:r>
      <w:proofErr w:type="spellEnd"/>
      <w:r w:rsidRPr="00F70C05">
        <w:rPr>
          <w:rFonts w:eastAsia="Calibri" w:cs="Times New Roman"/>
          <w:bCs/>
          <w:color w:val="4288C8"/>
          <w:sz w:val="22"/>
          <w:szCs w:val="32"/>
        </w:rPr>
        <w:t>.</w:t>
      </w:r>
    </w:p>
    <w:bookmarkEnd w:id="1"/>
    <w:p w14:paraId="59CD15F6" w14:textId="77777777" w:rsidR="00F70C05" w:rsidRDefault="00F70C05" w:rsidP="002F7174">
      <w:pPr>
        <w:tabs>
          <w:tab w:val="left" w:pos="2127"/>
        </w:tabs>
        <w:spacing w:after="0"/>
        <w:outlineLvl w:val="0"/>
        <w:rPr>
          <w:rFonts w:eastAsia="Calibri" w:cs="Times New Roman"/>
          <w:bCs/>
          <w:color w:val="4288C8"/>
          <w:sz w:val="22"/>
          <w:szCs w:val="32"/>
        </w:rPr>
      </w:pPr>
    </w:p>
    <w:p w14:paraId="3B093371" w14:textId="46F07FB1" w:rsidR="00F54D29" w:rsidRPr="00C37728" w:rsidRDefault="002F7174" w:rsidP="002F7174">
      <w:pPr>
        <w:tabs>
          <w:tab w:val="left" w:pos="2127"/>
        </w:tabs>
        <w:spacing w:after="0"/>
        <w:outlineLvl w:val="0"/>
        <w:rPr>
          <w:rFonts w:eastAsia="Calibri" w:cs="Times New Roman"/>
          <w:b/>
          <w:color w:val="4288C8"/>
          <w:sz w:val="22"/>
          <w:szCs w:val="32"/>
          <w:lang w:val="en-US"/>
        </w:rPr>
      </w:pPr>
      <w:r w:rsidRPr="00C37728">
        <w:rPr>
          <w:rFonts w:eastAsia="Calibri" w:cs="Times New Roman"/>
          <w:bCs/>
          <w:color w:val="4288C8"/>
          <w:sz w:val="22"/>
          <w:szCs w:val="32"/>
        </w:rPr>
        <w:t xml:space="preserve">Finally, it is noteworthy </w:t>
      </w:r>
      <w:r w:rsidR="002509DD">
        <w:rPr>
          <w:rFonts w:eastAsia="Calibri" w:cs="Times New Roman"/>
          <w:bCs/>
          <w:color w:val="4288C8"/>
          <w:sz w:val="22"/>
          <w:szCs w:val="32"/>
        </w:rPr>
        <w:t xml:space="preserve">the fact </w:t>
      </w:r>
      <w:r w:rsidRPr="00C37728">
        <w:rPr>
          <w:rFonts w:eastAsia="Calibri" w:cs="Times New Roman"/>
          <w:bCs/>
          <w:color w:val="4288C8"/>
          <w:sz w:val="22"/>
          <w:szCs w:val="32"/>
        </w:rPr>
        <w:t>that removing the indicative quotes from Article</w:t>
      </w:r>
      <w:r w:rsidR="00880941">
        <w:rPr>
          <w:rFonts w:eastAsia="Calibri" w:cs="Times New Roman"/>
          <w:bCs/>
          <w:color w:val="4288C8"/>
          <w:sz w:val="22"/>
          <w:szCs w:val="32"/>
        </w:rPr>
        <w:t> </w:t>
      </w:r>
      <w:r w:rsidRPr="00C37728">
        <w:rPr>
          <w:rFonts w:eastAsia="Calibri" w:cs="Times New Roman"/>
          <w:bCs/>
          <w:color w:val="4288C8"/>
          <w:sz w:val="22"/>
          <w:szCs w:val="32"/>
        </w:rPr>
        <w:t>3</w:t>
      </w:r>
      <w:r w:rsidR="00880941">
        <w:rPr>
          <w:rFonts w:eastAsia="Calibri" w:cs="Times New Roman"/>
          <w:bCs/>
          <w:color w:val="4288C8"/>
          <w:sz w:val="22"/>
          <w:szCs w:val="32"/>
        </w:rPr>
        <w:t> </w:t>
      </w:r>
      <w:r w:rsidRPr="00C37728">
        <w:rPr>
          <w:rFonts w:eastAsia="Calibri" w:cs="Times New Roman"/>
          <w:bCs/>
          <w:color w:val="4288C8"/>
          <w:sz w:val="22"/>
          <w:szCs w:val="32"/>
        </w:rPr>
        <w:t>paragraph 2 from the current framework may result in AVA</w:t>
      </w:r>
      <w:r w:rsidR="00880941">
        <w:rPr>
          <w:rFonts w:eastAsia="Calibri" w:cs="Times New Roman"/>
          <w:bCs/>
          <w:color w:val="4288C8"/>
          <w:sz w:val="22"/>
          <w:szCs w:val="32"/>
        </w:rPr>
        <w:t>s</w:t>
      </w:r>
      <w:r w:rsidRPr="00C37728">
        <w:rPr>
          <w:rFonts w:eastAsia="Calibri" w:cs="Times New Roman"/>
          <w:bCs/>
          <w:color w:val="4288C8"/>
          <w:sz w:val="22"/>
          <w:szCs w:val="32"/>
        </w:rPr>
        <w:t xml:space="preserve"> calculations that are based almost solely on the expert-based approach.</w:t>
      </w:r>
    </w:p>
    <w:p w14:paraId="3C63B3D9" w14:textId="77777777" w:rsidR="002F7174" w:rsidRPr="00880941" w:rsidRDefault="002F7174" w:rsidP="00F54D29">
      <w:pPr>
        <w:tabs>
          <w:tab w:val="left" w:pos="2127"/>
        </w:tabs>
        <w:spacing w:after="0"/>
        <w:outlineLvl w:val="0"/>
        <w:rPr>
          <w:rFonts w:eastAsia="Calibri" w:cs="Times New Roman"/>
          <w:b/>
          <w:color w:val="4288C8"/>
          <w:szCs w:val="28"/>
          <w:lang w:val="en-US"/>
        </w:rPr>
      </w:pPr>
    </w:p>
    <w:p w14:paraId="49B96102" w14:textId="77777777" w:rsidR="002F7174" w:rsidRDefault="002F7174" w:rsidP="00F54D29">
      <w:pPr>
        <w:tabs>
          <w:tab w:val="left" w:pos="2127"/>
        </w:tabs>
        <w:spacing w:after="0"/>
        <w:outlineLvl w:val="0"/>
        <w:rPr>
          <w:rFonts w:eastAsia="Calibri" w:cs="Times New Roman"/>
          <w:b/>
          <w:color w:val="4288C8"/>
          <w:szCs w:val="28"/>
        </w:rPr>
      </w:pPr>
    </w:p>
    <w:p w14:paraId="3C9BF981" w14:textId="02EFC56C" w:rsidR="002509DD" w:rsidRPr="002509DD" w:rsidRDefault="002509DD" w:rsidP="002509DD">
      <w:pPr>
        <w:tabs>
          <w:tab w:val="left" w:pos="2127"/>
        </w:tabs>
        <w:spacing w:after="0"/>
        <w:outlineLvl w:val="0"/>
        <w:rPr>
          <w:rFonts w:eastAsia="Calibri" w:cs="Times New Roman"/>
          <w:b/>
          <w:color w:val="4288C8"/>
          <w:szCs w:val="28"/>
        </w:rPr>
      </w:pPr>
      <w:r w:rsidRPr="002509DD">
        <w:rPr>
          <w:rFonts w:eastAsia="Calibri" w:cs="Times New Roman"/>
          <w:b/>
          <w:color w:val="4288C8"/>
          <w:szCs w:val="28"/>
        </w:rPr>
        <w:t>Q</w:t>
      </w:r>
      <w:r w:rsidR="008864B0">
        <w:rPr>
          <w:rFonts w:eastAsia="Calibri" w:cs="Times New Roman"/>
          <w:b/>
          <w:color w:val="4288C8"/>
          <w:szCs w:val="28"/>
        </w:rPr>
        <w:t xml:space="preserve">uestion </w:t>
      </w:r>
      <w:r w:rsidRPr="002509DD">
        <w:rPr>
          <w:rFonts w:eastAsia="Calibri" w:cs="Times New Roman"/>
          <w:b/>
          <w:color w:val="4288C8"/>
          <w:szCs w:val="28"/>
        </w:rPr>
        <w:t>3. Data requirements - Article 3a</w:t>
      </w:r>
    </w:p>
    <w:p w14:paraId="46BF923E" w14:textId="77777777" w:rsidR="002509DD" w:rsidRPr="002509DD" w:rsidRDefault="002509DD" w:rsidP="002509DD">
      <w:pPr>
        <w:tabs>
          <w:tab w:val="left" w:pos="2127"/>
        </w:tabs>
        <w:spacing w:after="0"/>
        <w:outlineLvl w:val="0"/>
        <w:rPr>
          <w:rFonts w:eastAsia="Calibri" w:cs="Times New Roman"/>
          <w:b/>
          <w:color w:val="4288C8"/>
          <w:szCs w:val="28"/>
        </w:rPr>
      </w:pPr>
    </w:p>
    <w:p w14:paraId="3E5A4032" w14:textId="77777777" w:rsidR="002509DD" w:rsidRPr="002509DD" w:rsidRDefault="002509DD" w:rsidP="002509DD">
      <w:pPr>
        <w:tabs>
          <w:tab w:val="left" w:pos="2127"/>
        </w:tabs>
        <w:spacing w:after="0"/>
        <w:outlineLvl w:val="0"/>
        <w:rPr>
          <w:rFonts w:eastAsia="Calibri" w:cs="Times New Roman"/>
          <w:bCs/>
          <w:i/>
          <w:iCs/>
          <w:color w:val="4288C8"/>
          <w:szCs w:val="28"/>
        </w:rPr>
      </w:pPr>
      <w:r w:rsidRPr="002509DD">
        <w:rPr>
          <w:rFonts w:eastAsia="Calibri" w:cs="Times New Roman"/>
          <w:bCs/>
          <w:i/>
          <w:iCs/>
          <w:color w:val="4288C8"/>
          <w:szCs w:val="28"/>
        </w:rPr>
        <w:t>Do you have any comments with regard to the requirements proposed in Article 3a? If you consider that some of those requirements should be adjusted, please describe how you would revise them in order to meet the policy objectives that the proposed amendments try to achieve and provide the rationale supporting your proposal.</w:t>
      </w:r>
    </w:p>
    <w:p w14:paraId="275D98AE" w14:textId="77777777" w:rsidR="002509DD" w:rsidRPr="002509DD" w:rsidRDefault="002509DD" w:rsidP="002509DD">
      <w:pPr>
        <w:tabs>
          <w:tab w:val="left" w:pos="2127"/>
        </w:tabs>
        <w:spacing w:after="0"/>
        <w:outlineLvl w:val="0"/>
        <w:rPr>
          <w:rFonts w:eastAsia="Calibri" w:cs="Times New Roman"/>
          <w:bCs/>
          <w:i/>
          <w:iCs/>
          <w:color w:val="4288C8"/>
          <w:szCs w:val="28"/>
        </w:rPr>
      </w:pPr>
    </w:p>
    <w:p w14:paraId="4CB70EDF" w14:textId="77777777" w:rsidR="002509DD" w:rsidRPr="002509DD" w:rsidRDefault="002509DD" w:rsidP="002509DD">
      <w:pPr>
        <w:tabs>
          <w:tab w:val="left" w:pos="2127"/>
        </w:tabs>
        <w:spacing w:after="0"/>
        <w:outlineLvl w:val="0"/>
        <w:rPr>
          <w:rFonts w:eastAsia="Calibri" w:cs="Times New Roman"/>
          <w:bCs/>
          <w:color w:val="4288C8"/>
          <w:sz w:val="22"/>
          <w:szCs w:val="32"/>
        </w:rPr>
      </w:pPr>
      <w:r w:rsidRPr="002509DD">
        <w:rPr>
          <w:rFonts w:eastAsia="Calibri" w:cs="Times New Roman"/>
          <w:bCs/>
          <w:color w:val="4288C8"/>
          <w:sz w:val="22"/>
          <w:szCs w:val="32"/>
        </w:rPr>
        <w:t>The one-month recency criterion is not manageable for banking book positions, they should therefore be excluded from this requirement.</w:t>
      </w:r>
    </w:p>
    <w:p w14:paraId="25C25BAD" w14:textId="77777777" w:rsidR="002509DD" w:rsidRPr="002509DD" w:rsidRDefault="002509DD" w:rsidP="002509DD">
      <w:pPr>
        <w:tabs>
          <w:tab w:val="left" w:pos="2127"/>
        </w:tabs>
        <w:spacing w:after="0"/>
        <w:outlineLvl w:val="0"/>
        <w:rPr>
          <w:rFonts w:eastAsia="Calibri" w:cs="Times New Roman"/>
          <w:bCs/>
          <w:color w:val="4288C8"/>
          <w:sz w:val="22"/>
          <w:szCs w:val="32"/>
        </w:rPr>
      </w:pPr>
    </w:p>
    <w:p w14:paraId="27E8C417" w14:textId="3D3674E1" w:rsidR="002509DD" w:rsidRPr="002509DD" w:rsidRDefault="002509DD" w:rsidP="002509DD">
      <w:pPr>
        <w:tabs>
          <w:tab w:val="left" w:pos="2127"/>
        </w:tabs>
        <w:spacing w:after="0"/>
        <w:outlineLvl w:val="0"/>
        <w:rPr>
          <w:rFonts w:eastAsia="Calibri" w:cs="Times New Roman"/>
          <w:bCs/>
          <w:color w:val="4288C8"/>
          <w:sz w:val="22"/>
          <w:szCs w:val="32"/>
        </w:rPr>
      </w:pPr>
      <w:r w:rsidRPr="005D3C14">
        <w:rPr>
          <w:rFonts w:eastAsia="Calibri" w:cs="Times New Roman"/>
          <w:bCs/>
          <w:color w:val="4288C8"/>
          <w:sz w:val="22"/>
          <w:szCs w:val="32"/>
        </w:rPr>
        <w:t>It is right that the valuation must be based on recent data reflecting the state of the market as of the reporting date. However,</w:t>
      </w:r>
      <w:r w:rsidR="003D4374" w:rsidRPr="005D3C14">
        <w:rPr>
          <w:rFonts w:ascii="Arial" w:hAnsi="Arial" w:cs="Arial"/>
          <w:color w:val="auto"/>
          <w:sz w:val="22"/>
          <w:szCs w:val="22"/>
        </w:rPr>
        <w:t xml:space="preserve"> </w:t>
      </w:r>
      <w:r w:rsidR="003D4374" w:rsidRPr="00476B55">
        <w:rPr>
          <w:rFonts w:eastAsia="Calibri" w:cs="Times New Roman"/>
          <w:bCs/>
          <w:color w:val="4288C8"/>
          <w:sz w:val="22"/>
          <w:szCs w:val="32"/>
        </w:rPr>
        <w:t>limiting historical data to one month is arbitrary and does not account for the difference in liquidity, potentially excluding good data for less liquid instruments.</w:t>
      </w:r>
      <w:r w:rsidR="00880941">
        <w:rPr>
          <w:rFonts w:eastAsia="Calibri" w:cs="Times New Roman"/>
          <w:bCs/>
          <w:color w:val="4288C8"/>
          <w:sz w:val="22"/>
          <w:szCs w:val="32"/>
        </w:rPr>
        <w:t xml:space="preserve"> </w:t>
      </w:r>
      <w:r w:rsidR="003D4374" w:rsidRPr="0003235F">
        <w:rPr>
          <w:rFonts w:eastAsia="Calibri" w:cs="Times New Roman"/>
          <w:bCs/>
          <w:color w:val="4288C8"/>
          <w:sz w:val="22"/>
          <w:szCs w:val="32"/>
        </w:rPr>
        <w:t>W</w:t>
      </w:r>
      <w:r w:rsidRPr="0003235F">
        <w:rPr>
          <w:rFonts w:eastAsia="Calibri" w:cs="Times New Roman"/>
          <w:bCs/>
          <w:color w:val="4288C8"/>
          <w:sz w:val="22"/>
          <w:szCs w:val="32"/>
        </w:rPr>
        <w:t>hen measuring</w:t>
      </w:r>
      <w:r w:rsidRPr="005D3C14">
        <w:rPr>
          <w:rFonts w:eastAsia="Calibri" w:cs="Times New Roman"/>
          <w:bCs/>
          <w:color w:val="4288C8"/>
          <w:sz w:val="22"/>
          <w:szCs w:val="32"/>
        </w:rPr>
        <w:t xml:space="preserve"> confidence interval for uncertainty, an historical approach is often necessary to build a relevant distribution, provided that the distribution obtained</w:t>
      </w:r>
      <w:r w:rsidR="00880941">
        <w:rPr>
          <w:rFonts w:eastAsia="Calibri" w:cs="Times New Roman"/>
          <w:bCs/>
          <w:color w:val="4288C8"/>
          <w:sz w:val="22"/>
          <w:szCs w:val="32"/>
        </w:rPr>
        <w:t xml:space="preserve"> </w:t>
      </w:r>
      <w:r w:rsidRPr="002509DD">
        <w:rPr>
          <w:rFonts w:eastAsia="Calibri" w:cs="Times New Roman"/>
          <w:bCs/>
          <w:color w:val="4288C8"/>
          <w:sz w:val="22"/>
          <w:szCs w:val="32"/>
        </w:rPr>
        <w:t>is a</w:t>
      </w:r>
      <w:r w:rsidR="00880941">
        <w:rPr>
          <w:rFonts w:eastAsia="Calibri" w:cs="Times New Roman"/>
          <w:bCs/>
          <w:color w:val="4288C8"/>
          <w:sz w:val="22"/>
          <w:szCs w:val="32"/>
        </w:rPr>
        <w:t xml:space="preserve"> </w:t>
      </w:r>
      <w:r w:rsidRPr="002509DD">
        <w:rPr>
          <w:rFonts w:eastAsia="Calibri" w:cs="Times New Roman"/>
          <w:bCs/>
          <w:color w:val="4288C8"/>
          <w:sz w:val="22"/>
          <w:szCs w:val="32"/>
        </w:rPr>
        <w:t>fair representation of the uncertainty as of the reporting data. Judgement in the choice of suitable data is required.</w:t>
      </w:r>
      <w:r w:rsidR="00C34920">
        <w:rPr>
          <w:rFonts w:eastAsia="Calibri" w:cs="Times New Roman"/>
          <w:bCs/>
          <w:color w:val="4288C8"/>
          <w:sz w:val="22"/>
          <w:szCs w:val="32"/>
        </w:rPr>
        <w:t xml:space="preserve"> </w:t>
      </w:r>
      <w:r w:rsidRPr="002509DD">
        <w:rPr>
          <w:rFonts w:eastAsia="Calibri" w:cs="Times New Roman"/>
          <w:bCs/>
          <w:color w:val="4288C8"/>
          <w:sz w:val="22"/>
          <w:szCs w:val="32"/>
        </w:rPr>
        <w:t>Indeed, the length</w:t>
      </w:r>
      <w:r w:rsidR="00C34920">
        <w:rPr>
          <w:rFonts w:eastAsia="Calibri" w:cs="Times New Roman"/>
          <w:bCs/>
          <w:color w:val="4288C8"/>
          <w:sz w:val="22"/>
          <w:szCs w:val="32"/>
        </w:rPr>
        <w:t xml:space="preserve"> period</w:t>
      </w:r>
      <w:r w:rsidRPr="002509DD">
        <w:rPr>
          <w:rFonts w:eastAsia="Calibri" w:cs="Times New Roman"/>
          <w:bCs/>
          <w:color w:val="4288C8"/>
          <w:sz w:val="22"/>
          <w:szCs w:val="32"/>
        </w:rPr>
        <w:t xml:space="preserve"> should result from an historical analysis of the risk factor behaviour and the statistical consistency of the calibrated shocks.</w:t>
      </w:r>
    </w:p>
    <w:p w14:paraId="27B771BC" w14:textId="77777777" w:rsidR="002509DD" w:rsidRPr="002509DD" w:rsidRDefault="002509DD" w:rsidP="002509DD">
      <w:pPr>
        <w:tabs>
          <w:tab w:val="left" w:pos="2127"/>
        </w:tabs>
        <w:spacing w:after="0"/>
        <w:outlineLvl w:val="0"/>
        <w:rPr>
          <w:rFonts w:eastAsia="Calibri" w:cs="Times New Roman"/>
          <w:bCs/>
          <w:color w:val="4288C8"/>
          <w:sz w:val="22"/>
          <w:szCs w:val="32"/>
        </w:rPr>
      </w:pPr>
    </w:p>
    <w:p w14:paraId="439308CC" w14:textId="12F29454" w:rsidR="002509DD" w:rsidRDefault="002509DD" w:rsidP="002509DD">
      <w:pPr>
        <w:tabs>
          <w:tab w:val="left" w:pos="2127"/>
        </w:tabs>
        <w:spacing w:after="0"/>
        <w:outlineLvl w:val="0"/>
        <w:rPr>
          <w:rFonts w:eastAsia="Calibri" w:cs="Times New Roman"/>
          <w:bCs/>
          <w:color w:val="4288C8"/>
          <w:sz w:val="22"/>
          <w:szCs w:val="32"/>
        </w:rPr>
      </w:pPr>
      <w:r w:rsidRPr="002509DD">
        <w:rPr>
          <w:rFonts w:eastAsia="Calibri" w:cs="Times New Roman"/>
          <w:bCs/>
          <w:color w:val="4288C8"/>
          <w:sz w:val="22"/>
          <w:szCs w:val="32"/>
        </w:rPr>
        <w:t>Exception may be permitted in order to eliminate the volatility of AVA</w:t>
      </w:r>
      <w:r w:rsidR="0008378D">
        <w:rPr>
          <w:rFonts w:eastAsia="Calibri" w:cs="Times New Roman"/>
          <w:bCs/>
          <w:color w:val="4288C8"/>
          <w:sz w:val="22"/>
          <w:szCs w:val="32"/>
        </w:rPr>
        <w:t>s</w:t>
      </w:r>
      <w:r w:rsidRPr="002509DD">
        <w:rPr>
          <w:rFonts w:eastAsia="Calibri" w:cs="Times New Roman"/>
          <w:bCs/>
          <w:color w:val="4288C8"/>
          <w:sz w:val="22"/>
          <w:szCs w:val="32"/>
        </w:rPr>
        <w:t xml:space="preserve"> over time: for </w:t>
      </w:r>
      <w:r w:rsidR="00C34920">
        <w:rPr>
          <w:rFonts w:eastAsia="Calibri" w:cs="Times New Roman"/>
          <w:bCs/>
          <w:color w:val="4288C8"/>
          <w:sz w:val="22"/>
          <w:szCs w:val="32"/>
        </w:rPr>
        <w:t>instance</w:t>
      </w:r>
      <w:r w:rsidRPr="002509DD">
        <w:rPr>
          <w:rFonts w:eastAsia="Calibri" w:cs="Times New Roman"/>
          <w:bCs/>
          <w:color w:val="4288C8"/>
          <w:sz w:val="22"/>
          <w:szCs w:val="32"/>
        </w:rPr>
        <w:t xml:space="preserve">, dispersion observed on the most recent day of the year </w:t>
      </w:r>
      <w:r w:rsidR="00C34920">
        <w:rPr>
          <w:rFonts w:eastAsia="Calibri" w:cs="Times New Roman"/>
          <w:bCs/>
          <w:color w:val="4288C8"/>
          <w:sz w:val="22"/>
          <w:szCs w:val="32"/>
        </w:rPr>
        <w:t xml:space="preserve">might not </w:t>
      </w:r>
      <w:r w:rsidRPr="002509DD">
        <w:rPr>
          <w:rFonts w:eastAsia="Calibri" w:cs="Times New Roman"/>
          <w:bCs/>
          <w:color w:val="4288C8"/>
          <w:sz w:val="22"/>
          <w:szCs w:val="32"/>
        </w:rPr>
        <w:t>be representative (e.g.</w:t>
      </w:r>
      <w:r w:rsidR="0008378D">
        <w:rPr>
          <w:rFonts w:eastAsia="Calibri" w:cs="Times New Roman"/>
          <w:bCs/>
          <w:color w:val="4288C8"/>
          <w:sz w:val="22"/>
          <w:szCs w:val="32"/>
        </w:rPr>
        <w:t xml:space="preserve"> </w:t>
      </w:r>
      <w:r w:rsidRPr="002509DD">
        <w:rPr>
          <w:rFonts w:eastAsia="Calibri" w:cs="Times New Roman"/>
          <w:bCs/>
          <w:color w:val="4288C8"/>
          <w:sz w:val="22"/>
          <w:szCs w:val="32"/>
        </w:rPr>
        <w:t>liquidity tightening at the end of year or quarter, market movement occurr</w:t>
      </w:r>
      <w:r w:rsidR="00D50BE5">
        <w:rPr>
          <w:rFonts w:eastAsia="Calibri" w:cs="Times New Roman"/>
          <w:bCs/>
          <w:color w:val="4288C8"/>
          <w:sz w:val="22"/>
          <w:szCs w:val="32"/>
        </w:rPr>
        <w:t>ing</w:t>
      </w:r>
      <w:r w:rsidRPr="002509DD">
        <w:rPr>
          <w:rFonts w:eastAsia="Calibri" w:cs="Times New Roman"/>
          <w:bCs/>
          <w:color w:val="4288C8"/>
          <w:sz w:val="22"/>
          <w:szCs w:val="32"/>
        </w:rPr>
        <w:t xml:space="preserve"> on one single day) and </w:t>
      </w:r>
      <w:r w:rsidR="00C34920">
        <w:rPr>
          <w:rFonts w:eastAsia="Calibri" w:cs="Times New Roman"/>
          <w:bCs/>
          <w:color w:val="4288C8"/>
          <w:sz w:val="22"/>
          <w:szCs w:val="32"/>
        </w:rPr>
        <w:t>might</w:t>
      </w:r>
      <w:r w:rsidRPr="002509DD">
        <w:rPr>
          <w:rFonts w:eastAsia="Calibri" w:cs="Times New Roman"/>
          <w:bCs/>
          <w:color w:val="4288C8"/>
          <w:sz w:val="22"/>
          <w:szCs w:val="32"/>
        </w:rPr>
        <w:t xml:space="preserve"> </w:t>
      </w:r>
      <w:r w:rsidR="00C34920">
        <w:rPr>
          <w:rFonts w:eastAsia="Calibri" w:cs="Times New Roman"/>
          <w:bCs/>
          <w:color w:val="4288C8"/>
          <w:sz w:val="22"/>
          <w:szCs w:val="32"/>
        </w:rPr>
        <w:t>require</w:t>
      </w:r>
      <w:r w:rsidRPr="002509DD">
        <w:rPr>
          <w:rFonts w:eastAsia="Calibri" w:cs="Times New Roman"/>
          <w:bCs/>
          <w:color w:val="4288C8"/>
          <w:sz w:val="22"/>
          <w:szCs w:val="32"/>
        </w:rPr>
        <w:t xml:space="preserve"> some adjustment or the use of alternative set of data. Firms should have robust documentation as to </w:t>
      </w:r>
      <w:r w:rsidRPr="002509DD">
        <w:rPr>
          <w:rFonts w:eastAsia="Calibri" w:cs="Times New Roman"/>
          <w:bCs/>
          <w:color w:val="4288C8"/>
          <w:sz w:val="22"/>
          <w:szCs w:val="32"/>
        </w:rPr>
        <w:lastRenderedPageBreak/>
        <w:t>why they depart from the “</w:t>
      </w:r>
      <w:r w:rsidRPr="00A931EA">
        <w:rPr>
          <w:rFonts w:eastAsia="Calibri" w:cs="Times New Roman"/>
          <w:bCs/>
          <w:color w:val="4288C8"/>
          <w:sz w:val="22"/>
          <w:szCs w:val="32"/>
        </w:rPr>
        <w:t>most recent data</w:t>
      </w:r>
      <w:r w:rsidRPr="002509DD">
        <w:rPr>
          <w:rFonts w:eastAsia="Calibri" w:cs="Times New Roman"/>
          <w:bCs/>
          <w:color w:val="4288C8"/>
          <w:sz w:val="22"/>
          <w:szCs w:val="32"/>
        </w:rPr>
        <w:t>” guidance. Efforts to obtain reliable market data sources amenable to range base analysis should remain proportionate and not generate undue costs.</w:t>
      </w:r>
    </w:p>
    <w:p w14:paraId="3F780396" w14:textId="7A2E5719" w:rsidR="00F90D5F" w:rsidRPr="002509DD" w:rsidRDefault="00F90D5F" w:rsidP="002509DD">
      <w:pPr>
        <w:tabs>
          <w:tab w:val="left" w:pos="2127"/>
        </w:tabs>
        <w:spacing w:after="0"/>
        <w:outlineLvl w:val="0"/>
        <w:rPr>
          <w:rFonts w:eastAsia="Calibri" w:cs="Times New Roman"/>
          <w:bCs/>
          <w:color w:val="4288C8"/>
          <w:sz w:val="22"/>
          <w:szCs w:val="32"/>
        </w:rPr>
      </w:pPr>
      <w:r w:rsidRPr="00E90A3A">
        <w:rPr>
          <w:rFonts w:eastAsia="Calibri" w:cs="Times New Roman"/>
          <w:bCs/>
          <w:color w:val="4288C8"/>
          <w:sz w:val="22"/>
          <w:szCs w:val="22"/>
        </w:rPr>
        <w:t>In addition, the proposed measure is likely to trigger a wide reclassification of risk factors from the range-approach scope to the expert-based approach, together with large solvency impacts. Moreover, this would be associated with a high degree of uncertainty as to the classification, from one month to another, and a large volatility of solvency measures.</w:t>
      </w:r>
    </w:p>
    <w:p w14:paraId="7AC5493B" w14:textId="77777777" w:rsidR="002509DD" w:rsidRPr="002509DD" w:rsidRDefault="002509DD" w:rsidP="002509DD">
      <w:pPr>
        <w:tabs>
          <w:tab w:val="left" w:pos="2127"/>
        </w:tabs>
        <w:spacing w:after="0"/>
        <w:outlineLvl w:val="0"/>
        <w:rPr>
          <w:rFonts w:eastAsia="Calibri" w:cs="Times New Roman"/>
          <w:bCs/>
          <w:color w:val="4288C8"/>
          <w:sz w:val="22"/>
          <w:szCs w:val="32"/>
        </w:rPr>
      </w:pPr>
    </w:p>
    <w:p w14:paraId="477F4ED8" w14:textId="7793A73E" w:rsidR="002F7174" w:rsidRPr="0073734B" w:rsidRDefault="0073734B" w:rsidP="00F54D29">
      <w:pPr>
        <w:tabs>
          <w:tab w:val="left" w:pos="2127"/>
        </w:tabs>
        <w:spacing w:after="0"/>
        <w:outlineLvl w:val="0"/>
        <w:rPr>
          <w:rFonts w:eastAsia="Calibri" w:cs="Times New Roman"/>
          <w:bCs/>
          <w:color w:val="4288C8"/>
          <w:sz w:val="22"/>
          <w:szCs w:val="32"/>
        </w:rPr>
      </w:pPr>
      <w:r>
        <w:rPr>
          <w:rFonts w:eastAsia="Calibri" w:cs="Times New Roman"/>
          <w:bCs/>
          <w:color w:val="4288C8"/>
          <w:sz w:val="22"/>
          <w:szCs w:val="32"/>
        </w:rPr>
        <w:t>Finally</w:t>
      </w:r>
      <w:r w:rsidRPr="0073734B">
        <w:rPr>
          <w:rFonts w:eastAsia="Calibri" w:cs="Times New Roman"/>
          <w:bCs/>
          <w:color w:val="4288C8"/>
          <w:sz w:val="22"/>
          <w:szCs w:val="32"/>
        </w:rPr>
        <w:t xml:space="preserve">, we kindly request </w:t>
      </w:r>
      <w:r w:rsidR="007071B8">
        <w:rPr>
          <w:rFonts w:eastAsia="Calibri" w:cs="Times New Roman"/>
          <w:bCs/>
          <w:color w:val="4288C8"/>
          <w:sz w:val="22"/>
          <w:szCs w:val="32"/>
        </w:rPr>
        <w:t xml:space="preserve">the </w:t>
      </w:r>
      <w:r w:rsidRPr="0073734B">
        <w:rPr>
          <w:rFonts w:eastAsia="Calibri" w:cs="Times New Roman"/>
          <w:bCs/>
          <w:color w:val="4288C8"/>
          <w:sz w:val="22"/>
          <w:szCs w:val="32"/>
        </w:rPr>
        <w:t xml:space="preserve">EBA </w:t>
      </w:r>
      <w:r w:rsidR="007071B8">
        <w:rPr>
          <w:rFonts w:eastAsia="Calibri" w:cs="Times New Roman"/>
          <w:bCs/>
          <w:color w:val="4288C8"/>
          <w:sz w:val="22"/>
          <w:szCs w:val="32"/>
          <w:lang w:val="en-US"/>
        </w:rPr>
        <w:t xml:space="preserve">to </w:t>
      </w:r>
      <w:r w:rsidRPr="0073734B">
        <w:rPr>
          <w:rFonts w:eastAsia="Calibri" w:cs="Times New Roman"/>
          <w:bCs/>
          <w:color w:val="4288C8"/>
          <w:sz w:val="22"/>
          <w:szCs w:val="32"/>
        </w:rPr>
        <w:t xml:space="preserve">consider rewording the </w:t>
      </w:r>
      <w:r w:rsidR="007071B8">
        <w:rPr>
          <w:rFonts w:eastAsia="Calibri" w:cs="Times New Roman"/>
          <w:bCs/>
          <w:color w:val="4288C8"/>
          <w:sz w:val="22"/>
          <w:szCs w:val="32"/>
        </w:rPr>
        <w:t xml:space="preserve">current </w:t>
      </w:r>
      <w:r w:rsidRPr="0073734B">
        <w:rPr>
          <w:rFonts w:eastAsia="Calibri" w:cs="Times New Roman"/>
          <w:bCs/>
          <w:color w:val="4288C8"/>
          <w:sz w:val="22"/>
          <w:szCs w:val="32"/>
        </w:rPr>
        <w:t xml:space="preserve">provision into </w:t>
      </w:r>
      <w:r w:rsidR="007071B8">
        <w:rPr>
          <w:rFonts w:eastAsia="Calibri" w:cs="Times New Roman"/>
          <w:bCs/>
          <w:color w:val="4288C8"/>
          <w:sz w:val="22"/>
          <w:szCs w:val="32"/>
        </w:rPr>
        <w:t xml:space="preserve">the following one: </w:t>
      </w:r>
      <w:r w:rsidRPr="0073734B">
        <w:rPr>
          <w:rFonts w:eastAsia="Calibri" w:cs="Times New Roman"/>
          <w:bCs/>
          <w:color w:val="4288C8"/>
          <w:sz w:val="22"/>
          <w:szCs w:val="32"/>
        </w:rPr>
        <w:t>“</w:t>
      </w:r>
      <w:r w:rsidRPr="007071B8">
        <w:rPr>
          <w:rFonts w:eastAsia="Calibri" w:cs="Times New Roman"/>
          <w:bCs/>
          <w:i/>
          <w:iCs/>
          <w:color w:val="4288C8"/>
          <w:sz w:val="22"/>
          <w:szCs w:val="32"/>
          <w:u w:val="single"/>
        </w:rPr>
        <w:t>demonstrate</w:t>
      </w:r>
      <w:r w:rsidR="007071B8">
        <w:rPr>
          <w:rFonts w:eastAsia="Calibri" w:cs="Times New Roman"/>
          <w:bCs/>
          <w:i/>
          <w:iCs/>
          <w:color w:val="4288C8"/>
          <w:sz w:val="22"/>
          <w:szCs w:val="32"/>
          <w:u w:val="single"/>
        </w:rPr>
        <w:t xml:space="preserve"> that</w:t>
      </w:r>
      <w:r w:rsidRPr="007071B8">
        <w:rPr>
          <w:rFonts w:eastAsia="Calibri" w:cs="Times New Roman"/>
          <w:bCs/>
          <w:i/>
          <w:iCs/>
          <w:color w:val="4288C8"/>
          <w:sz w:val="22"/>
          <w:szCs w:val="32"/>
          <w:u w:val="single"/>
        </w:rPr>
        <w:t xml:space="preserve"> there are sufficient and reliable market data sources to calculate AVAs under range-based approach</w:t>
      </w:r>
      <w:r w:rsidRPr="0073734B">
        <w:rPr>
          <w:rFonts w:eastAsia="Calibri" w:cs="Times New Roman"/>
          <w:bCs/>
          <w:color w:val="4288C8"/>
          <w:sz w:val="22"/>
          <w:szCs w:val="32"/>
        </w:rPr>
        <w:t xml:space="preserve">”, </w:t>
      </w:r>
      <w:r w:rsidR="007071B8">
        <w:rPr>
          <w:rFonts w:eastAsia="Calibri" w:cs="Times New Roman"/>
          <w:bCs/>
          <w:color w:val="4288C8"/>
          <w:sz w:val="22"/>
          <w:szCs w:val="32"/>
        </w:rPr>
        <w:t>instead of “</w:t>
      </w:r>
      <w:r w:rsidR="007071B8" w:rsidRPr="007071B8">
        <w:rPr>
          <w:rFonts w:eastAsia="Calibri" w:cs="Times New Roman"/>
          <w:bCs/>
          <w:i/>
          <w:iCs/>
          <w:color w:val="4288C8"/>
          <w:sz w:val="22"/>
          <w:szCs w:val="32"/>
        </w:rPr>
        <w:t>demonstrate that (a) there are no sufficient and reliable market data sources</w:t>
      </w:r>
      <w:r w:rsidR="007071B8" w:rsidRPr="007071B8">
        <w:rPr>
          <w:rFonts w:eastAsia="Calibri" w:cs="Times New Roman"/>
          <w:bCs/>
          <w:color w:val="4288C8"/>
          <w:sz w:val="22"/>
          <w:szCs w:val="32"/>
        </w:rPr>
        <w:t xml:space="preserve"> to calculate AVAs under range-based approaches</w:t>
      </w:r>
      <w:r w:rsidR="007071B8">
        <w:rPr>
          <w:rFonts w:eastAsia="Calibri" w:cs="Times New Roman"/>
          <w:bCs/>
          <w:color w:val="4288C8"/>
          <w:sz w:val="22"/>
          <w:szCs w:val="32"/>
        </w:rPr>
        <w:t xml:space="preserve">”, </w:t>
      </w:r>
      <w:r w:rsidRPr="0073734B">
        <w:rPr>
          <w:rFonts w:eastAsia="Calibri" w:cs="Times New Roman"/>
          <w:bCs/>
          <w:color w:val="4288C8"/>
          <w:sz w:val="22"/>
          <w:szCs w:val="32"/>
        </w:rPr>
        <w:t>because prov</w:t>
      </w:r>
      <w:r w:rsidR="007071B8">
        <w:rPr>
          <w:rFonts w:eastAsia="Calibri" w:cs="Times New Roman"/>
          <w:bCs/>
          <w:color w:val="4288C8"/>
          <w:sz w:val="22"/>
          <w:szCs w:val="32"/>
        </w:rPr>
        <w:t>ing</w:t>
      </w:r>
      <w:r w:rsidRPr="0073734B">
        <w:rPr>
          <w:rFonts w:eastAsia="Calibri" w:cs="Times New Roman"/>
          <w:bCs/>
          <w:color w:val="4288C8"/>
          <w:sz w:val="22"/>
          <w:szCs w:val="32"/>
        </w:rPr>
        <w:t xml:space="preserve"> negative or non-</w:t>
      </w:r>
      <w:r w:rsidR="007071B8">
        <w:rPr>
          <w:rFonts w:eastAsia="Calibri" w:cs="Times New Roman"/>
          <w:bCs/>
          <w:color w:val="4288C8"/>
          <w:sz w:val="22"/>
          <w:szCs w:val="32"/>
        </w:rPr>
        <w:t>existent data</w:t>
      </w:r>
      <w:r w:rsidRPr="0073734B">
        <w:rPr>
          <w:rFonts w:eastAsia="Calibri" w:cs="Times New Roman"/>
          <w:bCs/>
          <w:color w:val="4288C8"/>
          <w:sz w:val="22"/>
          <w:szCs w:val="32"/>
        </w:rPr>
        <w:t xml:space="preserve"> is logically impossible</w:t>
      </w:r>
      <w:r>
        <w:rPr>
          <w:rFonts w:eastAsia="Calibri" w:cs="Times New Roman"/>
          <w:bCs/>
          <w:color w:val="4288C8"/>
          <w:sz w:val="22"/>
          <w:szCs w:val="32"/>
        </w:rPr>
        <w:t>.</w:t>
      </w:r>
    </w:p>
    <w:p w14:paraId="3DDC01C6" w14:textId="77777777" w:rsidR="00B064DF" w:rsidRDefault="00B064DF" w:rsidP="008B0E14">
      <w:pPr>
        <w:tabs>
          <w:tab w:val="left" w:pos="2127"/>
        </w:tabs>
        <w:spacing w:after="0"/>
        <w:outlineLvl w:val="0"/>
        <w:rPr>
          <w:rFonts w:eastAsia="Calibri" w:cs="Times New Roman"/>
          <w:bCs/>
          <w:color w:val="4288C8"/>
          <w:szCs w:val="20"/>
        </w:rPr>
      </w:pPr>
    </w:p>
    <w:p w14:paraId="6DFB2C34" w14:textId="7AEBF5FE" w:rsidR="008864B0" w:rsidRPr="008864B0" w:rsidRDefault="008864B0" w:rsidP="008864B0">
      <w:pPr>
        <w:tabs>
          <w:tab w:val="left" w:pos="2127"/>
        </w:tabs>
        <w:spacing w:after="0"/>
        <w:outlineLvl w:val="0"/>
        <w:rPr>
          <w:rFonts w:eastAsia="Calibri" w:cs="Times New Roman"/>
          <w:b/>
          <w:color w:val="4288C8"/>
          <w:szCs w:val="20"/>
        </w:rPr>
      </w:pPr>
      <w:r w:rsidRPr="008864B0">
        <w:rPr>
          <w:rFonts w:eastAsia="Calibri" w:cs="Times New Roman"/>
          <w:b/>
          <w:color w:val="4288C8"/>
          <w:szCs w:val="20"/>
        </w:rPr>
        <w:t>Q</w:t>
      </w:r>
      <w:r>
        <w:rPr>
          <w:rFonts w:eastAsia="Calibri" w:cs="Times New Roman"/>
          <w:b/>
          <w:color w:val="4288C8"/>
          <w:szCs w:val="20"/>
        </w:rPr>
        <w:t xml:space="preserve">uestion </w:t>
      </w:r>
      <w:r w:rsidRPr="008864B0">
        <w:rPr>
          <w:rFonts w:eastAsia="Calibri" w:cs="Times New Roman"/>
          <w:b/>
          <w:color w:val="4288C8"/>
          <w:szCs w:val="20"/>
        </w:rPr>
        <w:t>4. Threshold calculation - Article 4</w:t>
      </w:r>
    </w:p>
    <w:p w14:paraId="57DBB842" w14:textId="77777777" w:rsidR="008864B0" w:rsidRPr="008864B0" w:rsidRDefault="008864B0" w:rsidP="008864B0">
      <w:pPr>
        <w:tabs>
          <w:tab w:val="left" w:pos="2127"/>
        </w:tabs>
        <w:spacing w:after="0"/>
        <w:outlineLvl w:val="0"/>
        <w:rPr>
          <w:rFonts w:eastAsia="Calibri" w:cs="Times New Roman"/>
          <w:b/>
          <w:color w:val="4288C8"/>
          <w:szCs w:val="20"/>
        </w:rPr>
      </w:pPr>
    </w:p>
    <w:p w14:paraId="23388F13" w14:textId="77777777" w:rsidR="008864B0" w:rsidRPr="008864B0" w:rsidRDefault="008864B0" w:rsidP="008864B0">
      <w:pPr>
        <w:tabs>
          <w:tab w:val="left" w:pos="2127"/>
        </w:tabs>
        <w:spacing w:after="0"/>
        <w:outlineLvl w:val="0"/>
        <w:rPr>
          <w:rFonts w:eastAsia="Calibri" w:cs="Times New Roman"/>
          <w:bCs/>
          <w:i/>
          <w:iCs/>
          <w:color w:val="4288C8"/>
          <w:szCs w:val="20"/>
        </w:rPr>
      </w:pPr>
      <w:r w:rsidRPr="008864B0">
        <w:rPr>
          <w:rFonts w:eastAsia="Calibri" w:cs="Times New Roman"/>
          <w:bCs/>
          <w:i/>
          <w:iCs/>
          <w:color w:val="4288C8"/>
          <w:szCs w:val="20"/>
        </w:rPr>
        <w:t>Do you agree with the proposed amendment to capture valuation risks stemming from fair-valued back-to-back derivative transactions and SFTs? Do you agree that this would restore alignment with the treatment under the core approach? If not, please describe how you would suggest revising the amendment providing any rationale and supporting evidence.</w:t>
      </w:r>
    </w:p>
    <w:p w14:paraId="4BD5903D" w14:textId="77777777" w:rsidR="008864B0" w:rsidRDefault="008864B0" w:rsidP="008864B0">
      <w:pPr>
        <w:tabs>
          <w:tab w:val="left" w:pos="2127"/>
        </w:tabs>
        <w:spacing w:after="0"/>
        <w:outlineLvl w:val="0"/>
        <w:rPr>
          <w:rFonts w:eastAsia="Calibri" w:cs="Times New Roman"/>
          <w:b/>
          <w:color w:val="4288C8"/>
          <w:szCs w:val="20"/>
        </w:rPr>
      </w:pPr>
    </w:p>
    <w:p w14:paraId="77DE9DE9" w14:textId="7FC162DC" w:rsidR="008864B0" w:rsidRPr="0008378D" w:rsidRDefault="008864B0" w:rsidP="008864B0">
      <w:pPr>
        <w:tabs>
          <w:tab w:val="left" w:pos="2127"/>
        </w:tabs>
        <w:spacing w:after="0"/>
        <w:outlineLvl w:val="0"/>
        <w:rPr>
          <w:rFonts w:eastAsia="Calibri" w:cs="Times New Roman"/>
          <w:b/>
          <w:i/>
          <w:iCs/>
          <w:color w:val="4288C8"/>
          <w:szCs w:val="20"/>
        </w:rPr>
      </w:pPr>
      <w:r w:rsidRPr="0008378D">
        <w:rPr>
          <w:rFonts w:eastAsia="Calibri" w:cs="Times New Roman"/>
          <w:b/>
          <w:color w:val="4288C8"/>
          <w:szCs w:val="20"/>
        </w:rPr>
        <w:t>No reply</w:t>
      </w:r>
      <w:r w:rsidRPr="0008378D">
        <w:rPr>
          <w:rFonts w:eastAsia="Calibri" w:cs="Times New Roman"/>
          <w:b/>
          <w:i/>
          <w:iCs/>
          <w:color w:val="4288C8"/>
          <w:szCs w:val="20"/>
        </w:rPr>
        <w:t>.</w:t>
      </w:r>
    </w:p>
    <w:p w14:paraId="31CD2B8C" w14:textId="77777777" w:rsidR="008864B0" w:rsidRPr="008864B0" w:rsidRDefault="008864B0" w:rsidP="008864B0">
      <w:pPr>
        <w:tabs>
          <w:tab w:val="left" w:pos="2127"/>
        </w:tabs>
        <w:spacing w:after="0"/>
        <w:outlineLvl w:val="0"/>
        <w:rPr>
          <w:rFonts w:eastAsia="Calibri" w:cs="Times New Roman"/>
          <w:b/>
          <w:color w:val="4288C8"/>
          <w:szCs w:val="20"/>
        </w:rPr>
      </w:pPr>
    </w:p>
    <w:p w14:paraId="12B34DF4" w14:textId="26405E4C" w:rsidR="00CD1B51" w:rsidRPr="00CD1B51" w:rsidRDefault="00CD1B51" w:rsidP="00CD1B51">
      <w:pPr>
        <w:tabs>
          <w:tab w:val="left" w:pos="2127"/>
        </w:tabs>
        <w:spacing w:after="0"/>
        <w:outlineLvl w:val="0"/>
        <w:rPr>
          <w:rFonts w:eastAsia="Calibri" w:cs="Times New Roman"/>
          <w:b/>
          <w:color w:val="4288C8"/>
          <w:szCs w:val="20"/>
        </w:rPr>
      </w:pPr>
      <w:r w:rsidRPr="00CD1B51">
        <w:rPr>
          <w:rFonts w:eastAsia="Calibri" w:cs="Times New Roman"/>
          <w:b/>
          <w:color w:val="4288C8"/>
          <w:szCs w:val="20"/>
        </w:rPr>
        <w:t>Q</w:t>
      </w:r>
      <w:r>
        <w:rPr>
          <w:rFonts w:eastAsia="Calibri" w:cs="Times New Roman"/>
          <w:b/>
          <w:color w:val="4288C8"/>
          <w:szCs w:val="20"/>
        </w:rPr>
        <w:t xml:space="preserve">uestion </w:t>
      </w:r>
      <w:r w:rsidRPr="00CD1B51">
        <w:rPr>
          <w:rFonts w:eastAsia="Calibri" w:cs="Times New Roman"/>
          <w:b/>
          <w:color w:val="4288C8"/>
          <w:szCs w:val="20"/>
        </w:rPr>
        <w:t>5. Fall-back approach - Article 7</w:t>
      </w:r>
    </w:p>
    <w:p w14:paraId="03C24609" w14:textId="77777777" w:rsidR="00CD1B51" w:rsidRPr="00CD1B51" w:rsidRDefault="00CD1B51" w:rsidP="00CD1B51">
      <w:pPr>
        <w:tabs>
          <w:tab w:val="left" w:pos="2127"/>
        </w:tabs>
        <w:spacing w:after="0"/>
        <w:outlineLvl w:val="0"/>
        <w:rPr>
          <w:rFonts w:eastAsia="Calibri" w:cs="Times New Roman"/>
          <w:b/>
          <w:color w:val="4288C8"/>
          <w:szCs w:val="20"/>
        </w:rPr>
      </w:pPr>
    </w:p>
    <w:p w14:paraId="4F058A2E" w14:textId="77777777" w:rsidR="00CD1B51" w:rsidRPr="00CD1B51" w:rsidRDefault="00CD1B51" w:rsidP="00CD1B51">
      <w:pPr>
        <w:tabs>
          <w:tab w:val="left" w:pos="2127"/>
        </w:tabs>
        <w:spacing w:after="0"/>
        <w:outlineLvl w:val="0"/>
        <w:rPr>
          <w:rFonts w:eastAsia="Calibri" w:cs="Times New Roman"/>
          <w:bCs/>
          <w:i/>
          <w:iCs/>
          <w:color w:val="4288C8"/>
          <w:szCs w:val="20"/>
        </w:rPr>
      </w:pPr>
      <w:r w:rsidRPr="00CD1B51">
        <w:rPr>
          <w:rFonts w:eastAsia="Calibri" w:cs="Times New Roman"/>
          <w:bCs/>
          <w:i/>
          <w:iCs/>
          <w:color w:val="4288C8"/>
          <w:szCs w:val="20"/>
        </w:rPr>
        <w:t>Do you agree with the proposed amendments to the calibration of the fall-back approach? If you consider that a different range of percentages should be considered, or that the AVAs under the fall-back approach should be calculated in a different manner, please suggest a range or a methodology, as applicable, and provide a rationale and evidence supporting your proposal.</w:t>
      </w:r>
    </w:p>
    <w:p w14:paraId="2292E86B" w14:textId="77777777" w:rsidR="00CD1B51" w:rsidRPr="00CD1B51" w:rsidRDefault="00CD1B51" w:rsidP="00CD1B51">
      <w:pPr>
        <w:tabs>
          <w:tab w:val="left" w:pos="2127"/>
        </w:tabs>
        <w:spacing w:after="0"/>
        <w:outlineLvl w:val="0"/>
        <w:rPr>
          <w:rFonts w:eastAsia="Calibri" w:cs="Times New Roman"/>
          <w:bCs/>
          <w:color w:val="4288C8"/>
          <w:szCs w:val="20"/>
        </w:rPr>
      </w:pPr>
    </w:p>
    <w:p w14:paraId="564F8884" w14:textId="31E361A2" w:rsidR="00713FD8" w:rsidRDefault="00713FD8" w:rsidP="00713FD8">
      <w:pPr>
        <w:tabs>
          <w:tab w:val="left" w:pos="2127"/>
        </w:tabs>
        <w:spacing w:after="0"/>
        <w:outlineLvl w:val="0"/>
        <w:rPr>
          <w:rFonts w:eastAsia="Calibri" w:cs="Times New Roman"/>
          <w:bCs/>
          <w:color w:val="4288C8"/>
          <w:szCs w:val="20"/>
        </w:rPr>
      </w:pPr>
      <w:r>
        <w:rPr>
          <w:rFonts w:eastAsia="Calibri" w:cs="Times New Roman"/>
          <w:bCs/>
          <w:color w:val="4288C8"/>
          <w:sz w:val="22"/>
          <w:szCs w:val="22"/>
        </w:rPr>
        <w:t>T</w:t>
      </w:r>
      <w:r w:rsidRPr="00CD1B51">
        <w:rPr>
          <w:rFonts w:eastAsia="Calibri" w:cs="Times New Roman"/>
          <w:bCs/>
          <w:color w:val="4288C8"/>
          <w:sz w:val="22"/>
          <w:szCs w:val="22"/>
        </w:rPr>
        <w:t xml:space="preserve">he use of a percentage of notional for derivatives, especially the most complex ones that might be subject to the fall-back approach is not always a relevant measure of valuation uncertainty. Nothing can replace a sensitivity analysis with respect to the relevant risk factors. Some of these risk factors have boundary values (positive volatilities, correlations) that the notional based measure </w:t>
      </w:r>
      <w:r>
        <w:rPr>
          <w:rFonts w:eastAsia="Calibri" w:cs="Times New Roman"/>
          <w:bCs/>
          <w:color w:val="4288C8"/>
          <w:sz w:val="22"/>
          <w:szCs w:val="22"/>
        </w:rPr>
        <w:t>might</w:t>
      </w:r>
      <w:r w:rsidRPr="00CD1B51">
        <w:rPr>
          <w:rFonts w:eastAsia="Calibri" w:cs="Times New Roman"/>
          <w:bCs/>
          <w:color w:val="4288C8"/>
          <w:sz w:val="22"/>
          <w:szCs w:val="22"/>
        </w:rPr>
        <w:t xml:space="preserve"> not respect</w:t>
      </w:r>
      <w:r w:rsidRPr="00CD1B51">
        <w:rPr>
          <w:rFonts w:eastAsia="Calibri" w:cs="Times New Roman"/>
          <w:bCs/>
          <w:color w:val="4288C8"/>
          <w:szCs w:val="20"/>
        </w:rPr>
        <w:t>.</w:t>
      </w:r>
    </w:p>
    <w:p w14:paraId="5C0FBF1D" w14:textId="77777777" w:rsidR="00466601" w:rsidRPr="00CD1B51" w:rsidRDefault="00466601" w:rsidP="00466601">
      <w:pPr>
        <w:tabs>
          <w:tab w:val="left" w:pos="2127"/>
        </w:tabs>
        <w:spacing w:after="0"/>
        <w:outlineLvl w:val="0"/>
        <w:rPr>
          <w:rFonts w:eastAsia="Calibri" w:cs="Times New Roman"/>
          <w:bCs/>
          <w:color w:val="4288C8"/>
          <w:sz w:val="22"/>
          <w:szCs w:val="22"/>
        </w:rPr>
      </w:pPr>
      <w:r w:rsidRPr="00CD1B51">
        <w:rPr>
          <w:rFonts w:eastAsia="Calibri" w:cs="Times New Roman"/>
          <w:bCs/>
          <w:color w:val="4288C8"/>
          <w:sz w:val="22"/>
          <w:szCs w:val="22"/>
        </w:rPr>
        <w:t>For non-derivatives, using a fixed percentage of M</w:t>
      </w:r>
      <w:r>
        <w:rPr>
          <w:rFonts w:eastAsia="Calibri" w:cs="Times New Roman"/>
          <w:bCs/>
          <w:color w:val="4288C8"/>
          <w:sz w:val="22"/>
          <w:szCs w:val="22"/>
        </w:rPr>
        <w:t xml:space="preserve">arket </w:t>
      </w:r>
      <w:r w:rsidRPr="00CD1B51">
        <w:rPr>
          <w:rFonts w:eastAsia="Calibri" w:cs="Times New Roman"/>
          <w:bCs/>
          <w:color w:val="4288C8"/>
          <w:sz w:val="22"/>
          <w:szCs w:val="22"/>
        </w:rPr>
        <w:t>T</w:t>
      </w:r>
      <w:r>
        <w:rPr>
          <w:rFonts w:eastAsia="Calibri" w:cs="Times New Roman"/>
          <w:bCs/>
          <w:color w:val="4288C8"/>
          <w:sz w:val="22"/>
          <w:szCs w:val="22"/>
        </w:rPr>
        <w:t xml:space="preserve">o </w:t>
      </w:r>
      <w:r w:rsidRPr="00CD1B51">
        <w:rPr>
          <w:rFonts w:eastAsia="Calibri" w:cs="Times New Roman"/>
          <w:bCs/>
          <w:color w:val="4288C8"/>
          <w:sz w:val="22"/>
          <w:szCs w:val="22"/>
        </w:rPr>
        <w:t>M</w:t>
      </w:r>
      <w:r>
        <w:rPr>
          <w:rFonts w:eastAsia="Calibri" w:cs="Times New Roman"/>
          <w:bCs/>
          <w:color w:val="4288C8"/>
          <w:sz w:val="22"/>
          <w:szCs w:val="22"/>
        </w:rPr>
        <w:t>arket (MTM)</w:t>
      </w:r>
      <w:r w:rsidRPr="00CD1B51">
        <w:rPr>
          <w:rFonts w:eastAsia="Calibri" w:cs="Times New Roman"/>
          <w:bCs/>
          <w:color w:val="4288C8"/>
          <w:sz w:val="22"/>
          <w:szCs w:val="22"/>
        </w:rPr>
        <w:t xml:space="preserve"> would ignore nuances across different markets, instruments, and counterparties. This would not level the playing field, as x% </w:t>
      </w:r>
      <w:r>
        <w:rPr>
          <w:rFonts w:eastAsia="Calibri" w:cs="Times New Roman"/>
          <w:bCs/>
          <w:color w:val="4288C8"/>
          <w:sz w:val="22"/>
          <w:szCs w:val="22"/>
        </w:rPr>
        <w:t>could</w:t>
      </w:r>
      <w:r w:rsidRPr="00CD1B51">
        <w:rPr>
          <w:rFonts w:eastAsia="Calibri" w:cs="Times New Roman"/>
          <w:bCs/>
          <w:color w:val="4288C8"/>
          <w:sz w:val="22"/>
          <w:szCs w:val="22"/>
        </w:rPr>
        <w:t xml:space="preserve"> be aggressive for one institution</w:t>
      </w:r>
      <w:r>
        <w:rPr>
          <w:rFonts w:eastAsia="Calibri" w:cs="Times New Roman"/>
          <w:bCs/>
          <w:color w:val="4288C8"/>
          <w:sz w:val="22"/>
          <w:szCs w:val="22"/>
        </w:rPr>
        <w:t xml:space="preserve">, whereas </w:t>
      </w:r>
      <w:r w:rsidRPr="00CD1B51">
        <w:rPr>
          <w:rFonts w:eastAsia="Calibri" w:cs="Times New Roman"/>
          <w:bCs/>
          <w:color w:val="4288C8"/>
          <w:sz w:val="22"/>
          <w:szCs w:val="22"/>
        </w:rPr>
        <w:t>conservative</w:t>
      </w:r>
      <w:r w:rsidRPr="00CD1B51">
        <w:rPr>
          <w:rFonts w:eastAsia="Calibri" w:cs="Times New Roman"/>
          <w:b/>
          <w:color w:val="4288C8"/>
          <w:sz w:val="22"/>
          <w:szCs w:val="22"/>
        </w:rPr>
        <w:t xml:space="preserve"> </w:t>
      </w:r>
      <w:r w:rsidRPr="00CD1B51">
        <w:rPr>
          <w:rFonts w:eastAsia="Calibri" w:cs="Times New Roman"/>
          <w:bCs/>
          <w:color w:val="4288C8"/>
          <w:sz w:val="22"/>
          <w:szCs w:val="22"/>
        </w:rPr>
        <w:t>for another, depending on the composition of their portfolio.</w:t>
      </w:r>
    </w:p>
    <w:p w14:paraId="3AB4725F" w14:textId="77777777" w:rsidR="00CD1B51" w:rsidRPr="00CD1B51" w:rsidRDefault="00CD1B51" w:rsidP="00CD1B51">
      <w:pPr>
        <w:tabs>
          <w:tab w:val="left" w:pos="2127"/>
        </w:tabs>
        <w:spacing w:after="0"/>
        <w:outlineLvl w:val="0"/>
        <w:rPr>
          <w:rFonts w:eastAsia="Calibri" w:cs="Times New Roman"/>
          <w:bCs/>
          <w:color w:val="4288C8"/>
          <w:szCs w:val="20"/>
        </w:rPr>
      </w:pPr>
    </w:p>
    <w:p w14:paraId="3794885E" w14:textId="1B8957FD" w:rsidR="00CD1B51" w:rsidRPr="00CD1B51" w:rsidRDefault="00160FF6" w:rsidP="00CD1B51">
      <w:pPr>
        <w:tabs>
          <w:tab w:val="left" w:pos="2127"/>
        </w:tabs>
        <w:spacing w:after="0"/>
        <w:outlineLvl w:val="0"/>
        <w:rPr>
          <w:rFonts w:eastAsia="Calibri" w:cs="Times New Roman"/>
          <w:bCs/>
          <w:color w:val="4288C8"/>
          <w:szCs w:val="20"/>
        </w:rPr>
      </w:pPr>
      <w:r>
        <w:rPr>
          <w:rFonts w:eastAsia="Calibri" w:cs="Times New Roman"/>
          <w:bCs/>
          <w:color w:val="4288C8"/>
          <w:sz w:val="22"/>
          <w:szCs w:val="22"/>
        </w:rPr>
        <w:t>In addition, a</w:t>
      </w:r>
      <w:r w:rsidR="00CD1B51" w:rsidRPr="00160FF6">
        <w:rPr>
          <w:rFonts w:eastAsia="Calibri" w:cs="Times New Roman"/>
          <w:bCs/>
          <w:color w:val="4288C8"/>
          <w:sz w:val="22"/>
          <w:szCs w:val="22"/>
        </w:rPr>
        <w:t xml:space="preserve"> fundamental issue with an instrument-based approach</w:t>
      </w:r>
      <w:r w:rsidR="0066772C">
        <w:rPr>
          <w:rFonts w:eastAsia="Calibri" w:cs="Times New Roman"/>
          <w:bCs/>
          <w:color w:val="4288C8"/>
          <w:sz w:val="22"/>
          <w:szCs w:val="22"/>
        </w:rPr>
        <w:t>,</w:t>
      </w:r>
      <w:r w:rsidR="00CD1B51" w:rsidRPr="00160FF6">
        <w:rPr>
          <w:rFonts w:eastAsia="Calibri" w:cs="Times New Roman"/>
          <w:bCs/>
          <w:color w:val="4288C8"/>
          <w:sz w:val="22"/>
          <w:szCs w:val="22"/>
        </w:rPr>
        <w:t xml:space="preserve"> as opposed to a net risk approach</w:t>
      </w:r>
      <w:r w:rsidR="0066772C">
        <w:rPr>
          <w:rFonts w:eastAsia="Calibri" w:cs="Times New Roman"/>
          <w:bCs/>
          <w:color w:val="4288C8"/>
          <w:sz w:val="22"/>
          <w:szCs w:val="22"/>
        </w:rPr>
        <w:t>,</w:t>
      </w:r>
      <w:r w:rsidR="00CD1B51" w:rsidRPr="00160FF6">
        <w:rPr>
          <w:rFonts w:eastAsia="Calibri" w:cs="Times New Roman"/>
          <w:bCs/>
          <w:color w:val="4288C8"/>
          <w:sz w:val="22"/>
          <w:szCs w:val="22"/>
        </w:rPr>
        <w:t xml:space="preserve"> is that once a certain number of instruments are allocated to the fall-back approach, they are in theory no longer included in the core </w:t>
      </w:r>
      <w:r w:rsidR="00CD1B51" w:rsidRPr="00160FF6">
        <w:rPr>
          <w:rFonts w:eastAsia="Calibri" w:cs="Times New Roman"/>
          <w:bCs/>
          <w:color w:val="4288C8"/>
          <w:sz w:val="22"/>
          <w:szCs w:val="22"/>
        </w:rPr>
        <w:lastRenderedPageBreak/>
        <w:t>approach, so the vanilla risk exposure in the core approach becomes totally unbalanced as the fall-back deals are missing</w:t>
      </w:r>
      <w:r w:rsidR="005B4D35">
        <w:rPr>
          <w:rFonts w:eastAsia="Calibri" w:cs="Times New Roman"/>
          <w:bCs/>
          <w:color w:val="4288C8"/>
          <w:sz w:val="22"/>
          <w:szCs w:val="22"/>
        </w:rPr>
        <w:t>;</w:t>
      </w:r>
      <w:r w:rsidR="00CD1B51" w:rsidRPr="00160FF6">
        <w:rPr>
          <w:rFonts w:eastAsia="Calibri" w:cs="Times New Roman"/>
          <w:bCs/>
          <w:color w:val="4288C8"/>
          <w:sz w:val="22"/>
          <w:szCs w:val="22"/>
        </w:rPr>
        <w:t xml:space="preserve"> </w:t>
      </w:r>
      <w:r w:rsidR="005B4D35">
        <w:rPr>
          <w:rFonts w:eastAsia="Calibri" w:cs="Times New Roman"/>
          <w:bCs/>
          <w:color w:val="4288C8"/>
          <w:sz w:val="22"/>
          <w:szCs w:val="22"/>
        </w:rPr>
        <w:t>t</w:t>
      </w:r>
      <w:r w:rsidR="00CD1B51" w:rsidRPr="00160FF6">
        <w:rPr>
          <w:rFonts w:eastAsia="Calibri" w:cs="Times New Roman"/>
          <w:bCs/>
          <w:color w:val="4288C8"/>
          <w:sz w:val="22"/>
          <w:szCs w:val="22"/>
        </w:rPr>
        <w:t>he resulting Close</w:t>
      </w:r>
      <w:r w:rsidR="0066772C">
        <w:rPr>
          <w:rFonts w:eastAsia="Calibri" w:cs="Times New Roman"/>
          <w:bCs/>
          <w:color w:val="4288C8"/>
          <w:sz w:val="22"/>
          <w:szCs w:val="22"/>
        </w:rPr>
        <w:t>-</w:t>
      </w:r>
      <w:r w:rsidR="00CD1B51" w:rsidRPr="00160FF6">
        <w:rPr>
          <w:rFonts w:eastAsia="Calibri" w:cs="Times New Roman"/>
          <w:bCs/>
          <w:color w:val="4288C8"/>
          <w:sz w:val="22"/>
          <w:szCs w:val="22"/>
        </w:rPr>
        <w:t>Out</w:t>
      </w:r>
      <w:r w:rsidR="0066772C">
        <w:rPr>
          <w:rFonts w:eastAsia="Calibri" w:cs="Times New Roman"/>
          <w:bCs/>
          <w:color w:val="4288C8"/>
          <w:sz w:val="22"/>
          <w:szCs w:val="22"/>
        </w:rPr>
        <w:t>-</w:t>
      </w:r>
      <w:r w:rsidR="00CD1B51" w:rsidRPr="00160FF6">
        <w:rPr>
          <w:rFonts w:eastAsia="Calibri" w:cs="Times New Roman"/>
          <w:bCs/>
          <w:color w:val="4288C8"/>
          <w:sz w:val="22"/>
          <w:szCs w:val="22"/>
        </w:rPr>
        <w:t>Cost or Market Price Uncertainty becomes meaningless. Alternatively, allocating whole portfolios to the fall-back approach will inflate the total notional artificially. The result is that any instrument-based measure</w:t>
      </w:r>
      <w:r w:rsidR="005B4D35">
        <w:rPr>
          <w:rFonts w:eastAsia="Calibri" w:cs="Times New Roman"/>
          <w:bCs/>
          <w:color w:val="4288C8"/>
          <w:sz w:val="22"/>
          <w:szCs w:val="22"/>
        </w:rPr>
        <w:t xml:space="preserve"> </w:t>
      </w:r>
      <w:r w:rsidR="00CD1B51" w:rsidRPr="00160FF6">
        <w:rPr>
          <w:rFonts w:eastAsia="Calibri" w:cs="Times New Roman"/>
          <w:bCs/>
          <w:color w:val="4288C8"/>
          <w:sz w:val="22"/>
          <w:szCs w:val="22"/>
        </w:rPr>
        <w:t xml:space="preserve">is bound to fail its objective. Imposing </w:t>
      </w:r>
      <w:r w:rsidR="00A1205A">
        <w:rPr>
          <w:rFonts w:eastAsia="Calibri" w:cs="Times New Roman"/>
          <w:bCs/>
          <w:color w:val="4288C8"/>
          <w:sz w:val="22"/>
          <w:szCs w:val="22"/>
        </w:rPr>
        <w:t>f</w:t>
      </w:r>
      <w:r w:rsidR="00CD1B51" w:rsidRPr="00160FF6">
        <w:rPr>
          <w:rFonts w:eastAsia="Calibri" w:cs="Times New Roman"/>
          <w:bCs/>
          <w:color w:val="4288C8"/>
          <w:sz w:val="22"/>
          <w:szCs w:val="22"/>
        </w:rPr>
        <w:t>all-</w:t>
      </w:r>
      <w:r w:rsidR="00A1205A">
        <w:rPr>
          <w:rFonts w:eastAsia="Calibri" w:cs="Times New Roman"/>
          <w:bCs/>
          <w:color w:val="4288C8"/>
          <w:sz w:val="22"/>
          <w:szCs w:val="22"/>
        </w:rPr>
        <w:t>b</w:t>
      </w:r>
      <w:r w:rsidR="00CD1B51" w:rsidRPr="00160FF6">
        <w:rPr>
          <w:rFonts w:eastAsia="Calibri" w:cs="Times New Roman"/>
          <w:bCs/>
          <w:color w:val="4288C8"/>
          <w:sz w:val="22"/>
          <w:szCs w:val="22"/>
        </w:rPr>
        <w:t>ack to exposure which</w:t>
      </w:r>
      <w:r w:rsidR="005B4D35">
        <w:rPr>
          <w:rFonts w:eastAsia="Calibri" w:cs="Times New Roman"/>
          <w:bCs/>
          <w:color w:val="4288C8"/>
          <w:sz w:val="22"/>
          <w:szCs w:val="22"/>
        </w:rPr>
        <w:t xml:space="preserve"> is</w:t>
      </w:r>
      <w:r w:rsidR="00CD1B51" w:rsidRPr="00160FF6">
        <w:rPr>
          <w:rFonts w:eastAsia="Calibri" w:cs="Times New Roman"/>
          <w:bCs/>
          <w:color w:val="4288C8"/>
          <w:sz w:val="22"/>
          <w:szCs w:val="22"/>
        </w:rPr>
        <w:t xml:space="preserve"> continuously risk managed in the trading book and for which models are approved in the context of the </w:t>
      </w:r>
      <w:r w:rsidR="005B4D35">
        <w:rPr>
          <w:rFonts w:eastAsia="Calibri" w:cs="Times New Roman"/>
          <w:bCs/>
          <w:color w:val="4288C8"/>
          <w:sz w:val="22"/>
          <w:szCs w:val="22"/>
        </w:rPr>
        <w:t>m</w:t>
      </w:r>
      <w:r w:rsidR="00CD1B51" w:rsidRPr="00160FF6">
        <w:rPr>
          <w:rFonts w:eastAsia="Calibri" w:cs="Times New Roman"/>
          <w:bCs/>
          <w:color w:val="4288C8"/>
          <w:sz w:val="22"/>
          <w:szCs w:val="22"/>
        </w:rPr>
        <w:t>arket</w:t>
      </w:r>
      <w:r w:rsidR="005B4D35">
        <w:rPr>
          <w:rFonts w:eastAsia="Calibri" w:cs="Times New Roman"/>
          <w:bCs/>
          <w:color w:val="4288C8"/>
          <w:sz w:val="22"/>
          <w:szCs w:val="22"/>
        </w:rPr>
        <w:t xml:space="preserve"> r</w:t>
      </w:r>
      <w:r w:rsidR="00CD1B51" w:rsidRPr="00160FF6">
        <w:rPr>
          <w:rFonts w:eastAsia="Calibri" w:cs="Times New Roman"/>
          <w:bCs/>
          <w:color w:val="4288C8"/>
          <w:sz w:val="22"/>
          <w:szCs w:val="22"/>
        </w:rPr>
        <w:t xml:space="preserve">isk framework would be inappropriate. </w:t>
      </w:r>
      <w:r w:rsidR="00A1205A">
        <w:rPr>
          <w:rFonts w:eastAsia="Calibri" w:cs="Times New Roman"/>
          <w:bCs/>
          <w:color w:val="4288C8"/>
          <w:sz w:val="22"/>
          <w:szCs w:val="22"/>
        </w:rPr>
        <w:t>Sharply d</w:t>
      </w:r>
      <w:r w:rsidR="00CD1B51" w:rsidRPr="00160FF6">
        <w:rPr>
          <w:rFonts w:eastAsia="Calibri" w:cs="Times New Roman"/>
          <w:bCs/>
          <w:color w:val="4288C8"/>
          <w:sz w:val="22"/>
          <w:szCs w:val="22"/>
        </w:rPr>
        <w:t>isconnecting</w:t>
      </w:r>
      <w:r w:rsidR="00A1205A">
        <w:rPr>
          <w:rFonts w:eastAsia="Calibri" w:cs="Times New Roman"/>
          <w:bCs/>
          <w:color w:val="4288C8"/>
          <w:sz w:val="22"/>
          <w:szCs w:val="22"/>
        </w:rPr>
        <w:t xml:space="preserve">, </w:t>
      </w:r>
      <w:r w:rsidR="00CD1B51" w:rsidRPr="00160FF6">
        <w:rPr>
          <w:rFonts w:eastAsia="Calibri" w:cs="Times New Roman"/>
          <w:bCs/>
          <w:color w:val="4288C8"/>
          <w:sz w:val="22"/>
          <w:szCs w:val="22"/>
        </w:rPr>
        <w:t>as proposed</w:t>
      </w:r>
      <w:r w:rsidR="00C622A9">
        <w:rPr>
          <w:rFonts w:eastAsia="Calibri" w:cs="Times New Roman"/>
          <w:bCs/>
          <w:color w:val="4288C8"/>
          <w:sz w:val="22"/>
          <w:szCs w:val="22"/>
        </w:rPr>
        <w:t>,</w:t>
      </w:r>
      <w:r w:rsidR="00312DDF">
        <w:rPr>
          <w:rFonts w:eastAsia="Calibri" w:cs="Times New Roman"/>
          <w:bCs/>
          <w:color w:val="4288C8"/>
          <w:sz w:val="22"/>
          <w:szCs w:val="22"/>
        </w:rPr>
        <w:t xml:space="preserve"> </w:t>
      </w:r>
      <w:r w:rsidR="00CD1B51" w:rsidRPr="00160FF6">
        <w:rPr>
          <w:rFonts w:eastAsia="Calibri" w:cs="Times New Roman"/>
          <w:bCs/>
          <w:color w:val="4288C8"/>
          <w:sz w:val="22"/>
          <w:szCs w:val="22"/>
        </w:rPr>
        <w:t xml:space="preserve">the </w:t>
      </w:r>
      <w:r w:rsidR="005B4D35">
        <w:rPr>
          <w:rFonts w:eastAsia="Calibri" w:cs="Times New Roman"/>
          <w:bCs/>
          <w:color w:val="4288C8"/>
          <w:sz w:val="22"/>
          <w:szCs w:val="22"/>
        </w:rPr>
        <w:t>m</w:t>
      </w:r>
      <w:r w:rsidR="00CD1B51" w:rsidRPr="00160FF6">
        <w:rPr>
          <w:rFonts w:eastAsia="Calibri" w:cs="Times New Roman"/>
          <w:bCs/>
          <w:color w:val="4288C8"/>
          <w:sz w:val="22"/>
          <w:szCs w:val="22"/>
        </w:rPr>
        <w:t xml:space="preserve">arket </w:t>
      </w:r>
      <w:r w:rsidR="005B4D35">
        <w:rPr>
          <w:rFonts w:eastAsia="Calibri" w:cs="Times New Roman"/>
          <w:bCs/>
          <w:color w:val="4288C8"/>
          <w:sz w:val="22"/>
          <w:szCs w:val="22"/>
        </w:rPr>
        <w:t>r</w:t>
      </w:r>
      <w:r w:rsidR="00CD1B51" w:rsidRPr="00160FF6">
        <w:rPr>
          <w:rFonts w:eastAsia="Calibri" w:cs="Times New Roman"/>
          <w:bCs/>
          <w:color w:val="4288C8"/>
          <w:sz w:val="22"/>
          <w:szCs w:val="22"/>
        </w:rPr>
        <w:t xml:space="preserve">isk capital computation from the </w:t>
      </w:r>
      <w:r w:rsidR="00A518E3">
        <w:rPr>
          <w:rFonts w:eastAsia="Calibri" w:cs="Times New Roman"/>
          <w:bCs/>
          <w:color w:val="4288C8"/>
          <w:sz w:val="22"/>
          <w:szCs w:val="22"/>
        </w:rPr>
        <w:t>p</w:t>
      </w:r>
      <w:r w:rsidR="00CD1B51" w:rsidRPr="00160FF6">
        <w:rPr>
          <w:rFonts w:eastAsia="Calibri" w:cs="Times New Roman"/>
          <w:bCs/>
          <w:color w:val="4288C8"/>
          <w:sz w:val="22"/>
          <w:szCs w:val="22"/>
        </w:rPr>
        <w:t xml:space="preserve">rudent </w:t>
      </w:r>
      <w:r w:rsidR="00A518E3">
        <w:rPr>
          <w:rFonts w:eastAsia="Calibri" w:cs="Times New Roman"/>
          <w:bCs/>
          <w:color w:val="4288C8"/>
          <w:sz w:val="22"/>
          <w:szCs w:val="22"/>
        </w:rPr>
        <w:t>v</w:t>
      </w:r>
      <w:r w:rsidR="00CD1B51" w:rsidRPr="00160FF6">
        <w:rPr>
          <w:rFonts w:eastAsia="Calibri" w:cs="Times New Roman"/>
          <w:bCs/>
          <w:color w:val="4288C8"/>
          <w:sz w:val="22"/>
          <w:szCs w:val="22"/>
        </w:rPr>
        <w:t>aluation one</w:t>
      </w:r>
      <w:r w:rsidR="00A1205A">
        <w:rPr>
          <w:rFonts w:eastAsia="Calibri" w:cs="Times New Roman"/>
          <w:bCs/>
          <w:color w:val="4288C8"/>
          <w:sz w:val="22"/>
          <w:szCs w:val="22"/>
        </w:rPr>
        <w:t>,</w:t>
      </w:r>
      <w:r w:rsidR="00CD1B51" w:rsidRPr="00160FF6">
        <w:rPr>
          <w:rFonts w:eastAsia="Calibri" w:cs="Times New Roman"/>
          <w:bCs/>
          <w:color w:val="4288C8"/>
          <w:sz w:val="22"/>
          <w:szCs w:val="22"/>
        </w:rPr>
        <w:t xml:space="preserve"> has no financial meaning</w:t>
      </w:r>
      <w:r w:rsidR="00CD1B51" w:rsidRPr="00CD1B51">
        <w:rPr>
          <w:rFonts w:eastAsia="Calibri" w:cs="Times New Roman"/>
          <w:bCs/>
          <w:color w:val="4288C8"/>
          <w:szCs w:val="20"/>
        </w:rPr>
        <w:t>.</w:t>
      </w:r>
    </w:p>
    <w:p w14:paraId="58406087" w14:textId="77777777" w:rsidR="00CD1B51" w:rsidRPr="00CD1B51" w:rsidRDefault="00CD1B51" w:rsidP="00CD1B51">
      <w:pPr>
        <w:tabs>
          <w:tab w:val="left" w:pos="2127"/>
        </w:tabs>
        <w:spacing w:after="0"/>
        <w:outlineLvl w:val="0"/>
        <w:rPr>
          <w:rFonts w:eastAsia="Calibri" w:cs="Times New Roman"/>
          <w:bCs/>
          <w:color w:val="4288C8"/>
          <w:szCs w:val="20"/>
        </w:rPr>
      </w:pPr>
    </w:p>
    <w:p w14:paraId="38C407D7" w14:textId="6F83611D" w:rsidR="00CD1B51" w:rsidRPr="00A1205A" w:rsidRDefault="00CD1B51" w:rsidP="00CD1B51">
      <w:pPr>
        <w:tabs>
          <w:tab w:val="left" w:pos="2127"/>
        </w:tabs>
        <w:spacing w:after="0"/>
        <w:outlineLvl w:val="0"/>
        <w:rPr>
          <w:rFonts w:eastAsia="Calibri" w:cs="Times New Roman"/>
          <w:bCs/>
          <w:color w:val="4288C8"/>
          <w:sz w:val="22"/>
          <w:szCs w:val="22"/>
        </w:rPr>
      </w:pPr>
      <w:r w:rsidRPr="00A1205A">
        <w:rPr>
          <w:rFonts w:eastAsia="Calibri" w:cs="Times New Roman"/>
          <w:bCs/>
          <w:color w:val="4288C8"/>
          <w:sz w:val="22"/>
          <w:szCs w:val="22"/>
        </w:rPr>
        <w:t>For the industry, the point regarding the balance impact of removing a hedged structured product from AVA calculation while keeping its hedge is key. Therefore, the proposed</w:t>
      </w:r>
      <w:r w:rsidR="00A518E3">
        <w:rPr>
          <w:rFonts w:eastAsia="Calibri" w:cs="Times New Roman"/>
          <w:bCs/>
          <w:color w:val="4288C8"/>
          <w:sz w:val="22"/>
          <w:szCs w:val="22"/>
        </w:rPr>
        <w:t xml:space="preserve"> </w:t>
      </w:r>
      <w:r w:rsidRPr="00A1205A">
        <w:rPr>
          <w:rFonts w:eastAsia="Calibri" w:cs="Times New Roman"/>
          <w:bCs/>
          <w:color w:val="4288C8"/>
          <w:sz w:val="22"/>
          <w:szCs w:val="22"/>
        </w:rPr>
        <w:t xml:space="preserve">fall-back approach is not applicable for derivatives without considering this issue. </w:t>
      </w:r>
    </w:p>
    <w:p w14:paraId="536D930E" w14:textId="77777777" w:rsidR="00CD1B51" w:rsidRPr="00A1205A" w:rsidRDefault="00CD1B51" w:rsidP="00CD1B51">
      <w:pPr>
        <w:tabs>
          <w:tab w:val="left" w:pos="2127"/>
        </w:tabs>
        <w:spacing w:after="0"/>
        <w:outlineLvl w:val="0"/>
        <w:rPr>
          <w:rFonts w:eastAsia="Calibri" w:cs="Times New Roman"/>
          <w:bCs/>
          <w:color w:val="4288C8"/>
          <w:sz w:val="22"/>
          <w:szCs w:val="22"/>
        </w:rPr>
      </w:pPr>
    </w:p>
    <w:p w14:paraId="2DAF52A9" w14:textId="2DAA8F8E" w:rsidR="00CD1B51" w:rsidRPr="00A1205A" w:rsidRDefault="00CD1B51" w:rsidP="00CD1B51">
      <w:pPr>
        <w:tabs>
          <w:tab w:val="left" w:pos="2127"/>
        </w:tabs>
        <w:spacing w:after="0"/>
        <w:outlineLvl w:val="0"/>
        <w:rPr>
          <w:rFonts w:eastAsia="Calibri" w:cs="Times New Roman"/>
          <w:bCs/>
          <w:color w:val="4288C8"/>
          <w:sz w:val="22"/>
          <w:szCs w:val="22"/>
        </w:rPr>
      </w:pPr>
      <w:r w:rsidRPr="00A1205A">
        <w:rPr>
          <w:rFonts w:eastAsia="Calibri" w:cs="Times New Roman"/>
          <w:bCs/>
          <w:color w:val="4288C8"/>
          <w:sz w:val="22"/>
          <w:szCs w:val="22"/>
        </w:rPr>
        <w:t xml:space="preserve">Furthermore, banks would like clarifications on how to handle interaction between UCS/IFC and General Scope MPU/COC/MR. For </w:t>
      </w:r>
      <w:r w:rsidR="00A1205A">
        <w:rPr>
          <w:rFonts w:eastAsia="Calibri" w:cs="Times New Roman"/>
          <w:bCs/>
          <w:color w:val="4288C8"/>
          <w:sz w:val="22"/>
          <w:szCs w:val="22"/>
        </w:rPr>
        <w:t>instance</w:t>
      </w:r>
      <w:r w:rsidRPr="00A1205A">
        <w:rPr>
          <w:rFonts w:eastAsia="Calibri" w:cs="Times New Roman"/>
          <w:bCs/>
          <w:color w:val="4288C8"/>
          <w:sz w:val="22"/>
          <w:szCs w:val="22"/>
        </w:rPr>
        <w:t>, an issue in UCS</w:t>
      </w:r>
      <w:r w:rsidRPr="00A1205A">
        <w:rPr>
          <w:rFonts w:eastAsia="Calibri" w:cs="Times New Roman"/>
          <w:b/>
          <w:color w:val="4288C8"/>
          <w:sz w:val="22"/>
          <w:szCs w:val="22"/>
        </w:rPr>
        <w:t xml:space="preserve"> </w:t>
      </w:r>
      <w:r w:rsidRPr="00A1205A">
        <w:rPr>
          <w:rFonts w:eastAsia="Calibri" w:cs="Times New Roman"/>
          <w:bCs/>
          <w:color w:val="4288C8"/>
          <w:sz w:val="22"/>
          <w:szCs w:val="22"/>
        </w:rPr>
        <w:t>credit LGD or credit spread related to a counterparty will impact all positions traded with this counterparty what is expected by the revised framework. Besides, they would like clarifications on whether for non-derivative cases “fair value” should include any FVA and IPV components as described in the example page 12.</w:t>
      </w:r>
    </w:p>
    <w:p w14:paraId="3A02D751" w14:textId="77777777" w:rsidR="00CD1B51" w:rsidRPr="00A1205A" w:rsidRDefault="00CD1B51" w:rsidP="00CD1B51">
      <w:pPr>
        <w:tabs>
          <w:tab w:val="left" w:pos="2127"/>
        </w:tabs>
        <w:spacing w:after="0"/>
        <w:outlineLvl w:val="0"/>
        <w:rPr>
          <w:rFonts w:eastAsia="Calibri" w:cs="Times New Roman"/>
          <w:bCs/>
          <w:color w:val="4288C8"/>
          <w:sz w:val="22"/>
          <w:szCs w:val="22"/>
        </w:rPr>
      </w:pPr>
    </w:p>
    <w:p w14:paraId="1A0B0190" w14:textId="36422BF1" w:rsidR="00CD1B51" w:rsidRPr="00A1205A" w:rsidRDefault="00CD1B51" w:rsidP="00CD1B51">
      <w:pPr>
        <w:tabs>
          <w:tab w:val="left" w:pos="2127"/>
        </w:tabs>
        <w:spacing w:after="0"/>
        <w:outlineLvl w:val="0"/>
        <w:rPr>
          <w:rFonts w:eastAsia="Calibri" w:cs="Times New Roman"/>
          <w:bCs/>
          <w:color w:val="4288C8"/>
          <w:sz w:val="22"/>
          <w:szCs w:val="22"/>
        </w:rPr>
      </w:pPr>
      <w:r w:rsidRPr="00A1205A">
        <w:rPr>
          <w:rFonts w:eastAsia="Calibri" w:cs="Times New Roman"/>
          <w:bCs/>
          <w:color w:val="4288C8"/>
          <w:sz w:val="22"/>
          <w:szCs w:val="22"/>
        </w:rPr>
        <w:t xml:space="preserve">The multiple and vague conditions forecasted in the EBA proposal would likely lead </w:t>
      </w:r>
      <w:r w:rsidR="00021005">
        <w:rPr>
          <w:rFonts w:eastAsia="Calibri" w:cs="Times New Roman"/>
          <w:bCs/>
          <w:color w:val="4288C8"/>
          <w:sz w:val="22"/>
          <w:szCs w:val="22"/>
        </w:rPr>
        <w:t xml:space="preserve">to </w:t>
      </w:r>
      <w:r w:rsidRPr="00A1205A">
        <w:rPr>
          <w:rFonts w:eastAsia="Calibri" w:cs="Times New Roman"/>
          <w:bCs/>
          <w:color w:val="4288C8"/>
          <w:sz w:val="22"/>
          <w:szCs w:val="22"/>
        </w:rPr>
        <w:t xml:space="preserve">large scope of activities in the fall-back approaches, which would have material impacts on solvency measures, due to mechanisms mentioned in the previous paragraph. </w:t>
      </w:r>
      <w:r w:rsidRPr="00CD1B51">
        <w:rPr>
          <w:rFonts w:eastAsia="Calibri" w:cs="Times New Roman"/>
          <w:bCs/>
          <w:color w:val="4288C8"/>
          <w:szCs w:val="20"/>
        </w:rPr>
        <w:t xml:space="preserve">They are </w:t>
      </w:r>
      <w:r w:rsidRPr="00A1205A">
        <w:rPr>
          <w:rFonts w:eastAsia="Calibri" w:cs="Times New Roman"/>
          <w:bCs/>
          <w:color w:val="4288C8"/>
          <w:sz w:val="22"/>
          <w:szCs w:val="22"/>
        </w:rPr>
        <w:t xml:space="preserve">also vague </w:t>
      </w:r>
      <w:r w:rsidR="00F65EC6">
        <w:rPr>
          <w:rFonts w:eastAsia="Calibri" w:cs="Times New Roman"/>
          <w:bCs/>
          <w:color w:val="4288C8"/>
          <w:sz w:val="22"/>
          <w:szCs w:val="22"/>
        </w:rPr>
        <w:t xml:space="preserve">so </w:t>
      </w:r>
      <w:r w:rsidRPr="00A1205A">
        <w:rPr>
          <w:rFonts w:eastAsia="Calibri" w:cs="Times New Roman"/>
          <w:bCs/>
          <w:color w:val="4288C8"/>
          <w:sz w:val="22"/>
          <w:szCs w:val="22"/>
        </w:rPr>
        <w:t>to be subjectively interpretated, leading to distortion between banks. As a general rule, a fallback approach should only apply in rare circumstances when no clear methodology can be applied.</w:t>
      </w:r>
    </w:p>
    <w:p w14:paraId="4DE605B9" w14:textId="77777777" w:rsidR="00A518E3" w:rsidRDefault="00466601" w:rsidP="00466601">
      <w:pPr>
        <w:tabs>
          <w:tab w:val="left" w:pos="2127"/>
        </w:tabs>
        <w:spacing w:after="0"/>
        <w:outlineLvl w:val="0"/>
        <w:rPr>
          <w:rFonts w:eastAsia="Calibri" w:cs="Times New Roman"/>
          <w:bCs/>
          <w:color w:val="4288C8"/>
          <w:sz w:val="22"/>
          <w:szCs w:val="22"/>
        </w:rPr>
      </w:pPr>
      <w:r w:rsidRPr="00E90A3A">
        <w:rPr>
          <w:rFonts w:eastAsia="Calibri" w:cs="Times New Roman"/>
          <w:bCs/>
          <w:color w:val="4288C8"/>
          <w:sz w:val="22"/>
          <w:szCs w:val="22"/>
        </w:rPr>
        <w:t xml:space="preserve">In principle, the expansion of the scope and calibration of the charge result in various issues. For instance, the notional-related charges for derivatives are not reflective of the actual economic risk. Moreover, the framework lacks the concept of significance for risks that could not be independently verified/price-tested and thus removes bank’s ability to assess and capitalise the economic risk. </w:t>
      </w:r>
    </w:p>
    <w:p w14:paraId="350B707B" w14:textId="77777777" w:rsidR="00A518E3" w:rsidRDefault="00A518E3" w:rsidP="00466601">
      <w:pPr>
        <w:tabs>
          <w:tab w:val="left" w:pos="2127"/>
        </w:tabs>
        <w:spacing w:after="0"/>
        <w:outlineLvl w:val="0"/>
        <w:rPr>
          <w:rFonts w:eastAsia="Calibri" w:cs="Times New Roman"/>
          <w:bCs/>
          <w:color w:val="4288C8"/>
          <w:sz w:val="22"/>
          <w:szCs w:val="22"/>
        </w:rPr>
      </w:pPr>
    </w:p>
    <w:p w14:paraId="27F81D2E" w14:textId="43A8E5DC" w:rsidR="00466601" w:rsidRPr="00CD1B51" w:rsidRDefault="00A518E3" w:rsidP="00466601">
      <w:pPr>
        <w:tabs>
          <w:tab w:val="left" w:pos="2127"/>
        </w:tabs>
        <w:spacing w:after="0"/>
        <w:outlineLvl w:val="0"/>
        <w:rPr>
          <w:rFonts w:eastAsia="Calibri" w:cs="Times New Roman"/>
          <w:bCs/>
          <w:color w:val="4288C8"/>
          <w:szCs w:val="20"/>
        </w:rPr>
      </w:pPr>
      <w:r>
        <w:rPr>
          <w:rFonts w:eastAsia="Calibri" w:cs="Times New Roman"/>
          <w:bCs/>
          <w:color w:val="4288C8"/>
          <w:sz w:val="22"/>
          <w:szCs w:val="22"/>
        </w:rPr>
        <w:t>In addition</w:t>
      </w:r>
      <w:r w:rsidR="00466601" w:rsidRPr="00E90A3A">
        <w:rPr>
          <w:rFonts w:eastAsia="Calibri" w:cs="Times New Roman"/>
          <w:bCs/>
          <w:color w:val="4288C8"/>
          <w:sz w:val="22"/>
          <w:szCs w:val="22"/>
        </w:rPr>
        <w:t xml:space="preserve">, the range of charges (1-15%) </w:t>
      </w:r>
      <w:r>
        <w:rPr>
          <w:rFonts w:eastAsia="Calibri" w:cs="Times New Roman"/>
          <w:bCs/>
          <w:color w:val="4288C8"/>
          <w:sz w:val="22"/>
          <w:szCs w:val="22"/>
        </w:rPr>
        <w:t xml:space="preserve">in Article 7(4) </w:t>
      </w:r>
      <w:r w:rsidR="00466601" w:rsidRPr="00E90A3A">
        <w:rPr>
          <w:rFonts w:eastAsia="Calibri" w:cs="Times New Roman"/>
          <w:bCs/>
          <w:color w:val="4288C8"/>
          <w:sz w:val="22"/>
          <w:szCs w:val="22"/>
        </w:rPr>
        <w:t>is not consistent with the FRTB residual risk add-on (</w:t>
      </w:r>
      <w:r>
        <w:rPr>
          <w:rFonts w:eastAsia="Calibri" w:cs="Times New Roman"/>
          <w:bCs/>
          <w:color w:val="4288C8"/>
          <w:sz w:val="22"/>
          <w:szCs w:val="22"/>
        </w:rPr>
        <w:t>“</w:t>
      </w:r>
      <w:r w:rsidR="00466601" w:rsidRPr="00E90A3A">
        <w:rPr>
          <w:rFonts w:eastAsia="Calibri" w:cs="Times New Roman"/>
          <w:bCs/>
          <w:color w:val="4288C8"/>
          <w:sz w:val="22"/>
          <w:szCs w:val="22"/>
        </w:rPr>
        <w:t>RRAO</w:t>
      </w:r>
      <w:r>
        <w:rPr>
          <w:rFonts w:eastAsia="Calibri" w:cs="Times New Roman"/>
          <w:bCs/>
          <w:color w:val="4288C8"/>
          <w:sz w:val="22"/>
          <w:szCs w:val="22"/>
        </w:rPr>
        <w:t>”</w:t>
      </w:r>
      <w:r w:rsidR="00466601" w:rsidRPr="00E90A3A">
        <w:rPr>
          <w:rFonts w:eastAsia="Calibri" w:cs="Times New Roman"/>
          <w:bCs/>
          <w:color w:val="4288C8"/>
          <w:sz w:val="22"/>
          <w:szCs w:val="22"/>
        </w:rPr>
        <w:t>) [0.1%-1%] for derivatives.</w:t>
      </w:r>
    </w:p>
    <w:p w14:paraId="3347C190" w14:textId="77777777" w:rsidR="00CD1B51" w:rsidRPr="00A1205A" w:rsidRDefault="00CD1B51" w:rsidP="00CD1B51">
      <w:pPr>
        <w:tabs>
          <w:tab w:val="left" w:pos="2127"/>
        </w:tabs>
        <w:spacing w:after="0"/>
        <w:outlineLvl w:val="0"/>
        <w:rPr>
          <w:rFonts w:eastAsia="Calibri" w:cs="Times New Roman"/>
          <w:bCs/>
          <w:color w:val="4288C8"/>
          <w:sz w:val="22"/>
          <w:szCs w:val="22"/>
        </w:rPr>
      </w:pPr>
    </w:p>
    <w:p w14:paraId="62D97964" w14:textId="4186FA85" w:rsidR="00CD1B51" w:rsidRPr="00A1205A" w:rsidRDefault="00F65EC6" w:rsidP="00CD1B51">
      <w:pPr>
        <w:tabs>
          <w:tab w:val="left" w:pos="2127"/>
        </w:tabs>
        <w:spacing w:after="0"/>
        <w:contextualSpacing/>
        <w:outlineLvl w:val="0"/>
        <w:rPr>
          <w:rFonts w:eastAsia="Calibri" w:cs="Times New Roman"/>
          <w:bCs/>
          <w:color w:val="4288C8"/>
          <w:sz w:val="22"/>
          <w:szCs w:val="22"/>
        </w:rPr>
      </w:pPr>
      <w:r>
        <w:rPr>
          <w:rFonts w:eastAsia="Calibri" w:cs="Times New Roman"/>
          <w:bCs/>
          <w:color w:val="4288C8"/>
          <w:sz w:val="22"/>
          <w:szCs w:val="22"/>
        </w:rPr>
        <w:t>Hence, w</w:t>
      </w:r>
      <w:r w:rsidR="00CD1B51" w:rsidRPr="00A1205A">
        <w:rPr>
          <w:rFonts w:eastAsia="Calibri" w:cs="Times New Roman"/>
          <w:bCs/>
          <w:color w:val="4288C8"/>
          <w:sz w:val="22"/>
          <w:szCs w:val="22"/>
        </w:rPr>
        <w:t xml:space="preserve">e would suggest consideration </w:t>
      </w:r>
      <w:r>
        <w:rPr>
          <w:rFonts w:eastAsia="Calibri" w:cs="Times New Roman"/>
          <w:bCs/>
          <w:color w:val="4288C8"/>
          <w:sz w:val="22"/>
          <w:szCs w:val="22"/>
        </w:rPr>
        <w:t>be</w:t>
      </w:r>
      <w:r w:rsidR="00CD1B51" w:rsidRPr="00A1205A">
        <w:rPr>
          <w:rFonts w:eastAsia="Calibri" w:cs="Times New Roman"/>
          <w:bCs/>
          <w:color w:val="4288C8"/>
          <w:sz w:val="22"/>
          <w:szCs w:val="22"/>
        </w:rPr>
        <w:t xml:space="preserve"> given to introducing significan</w:t>
      </w:r>
      <w:r w:rsidR="00F60BC0">
        <w:rPr>
          <w:rFonts w:eastAsia="Calibri" w:cs="Times New Roman"/>
          <w:bCs/>
          <w:color w:val="4288C8"/>
          <w:sz w:val="22"/>
          <w:szCs w:val="22"/>
        </w:rPr>
        <w:t>t</w:t>
      </w:r>
      <w:r w:rsidR="00CD1B51" w:rsidRPr="00A1205A">
        <w:rPr>
          <w:rFonts w:eastAsia="Calibri" w:cs="Times New Roman"/>
          <w:bCs/>
          <w:color w:val="4288C8"/>
          <w:sz w:val="22"/>
          <w:szCs w:val="22"/>
        </w:rPr>
        <w:t xml:space="preserve"> considerations. If </w:t>
      </w:r>
      <w:r w:rsidR="004B45DF">
        <w:rPr>
          <w:rFonts w:eastAsia="Calibri" w:cs="Times New Roman"/>
          <w:bCs/>
          <w:color w:val="4288C8"/>
          <w:sz w:val="22"/>
          <w:szCs w:val="22"/>
        </w:rPr>
        <w:t xml:space="preserve">the </w:t>
      </w:r>
      <w:r w:rsidR="00CD1B51" w:rsidRPr="00A1205A">
        <w:rPr>
          <w:rFonts w:eastAsia="Calibri" w:cs="Times New Roman"/>
          <w:bCs/>
          <w:color w:val="4288C8"/>
          <w:sz w:val="22"/>
          <w:szCs w:val="22"/>
        </w:rPr>
        <w:t>risk not independently verified is immaterial, then there should be no fall-back requirement. If it is significant and a bank can demonstrate</w:t>
      </w:r>
      <w:r w:rsidR="004B45DF">
        <w:rPr>
          <w:rFonts w:eastAsia="Calibri" w:cs="Times New Roman"/>
          <w:bCs/>
          <w:color w:val="4288C8"/>
          <w:sz w:val="22"/>
          <w:szCs w:val="22"/>
        </w:rPr>
        <w:t xml:space="preserve"> that</w:t>
      </w:r>
      <w:r w:rsidR="00CD1B51" w:rsidRPr="00A1205A">
        <w:rPr>
          <w:rFonts w:eastAsia="Calibri" w:cs="Times New Roman"/>
          <w:bCs/>
          <w:color w:val="4288C8"/>
          <w:sz w:val="22"/>
          <w:szCs w:val="22"/>
        </w:rPr>
        <w:t xml:space="preserve"> its framework is adequate to conservatively quantify capital charge, there should be no fall-back requirement. If the </w:t>
      </w:r>
      <w:r w:rsidR="0069136B">
        <w:rPr>
          <w:rFonts w:eastAsia="Calibri" w:cs="Times New Roman"/>
          <w:bCs/>
          <w:color w:val="4288C8"/>
          <w:sz w:val="22"/>
          <w:szCs w:val="22"/>
        </w:rPr>
        <w:t>afore-mentioned</w:t>
      </w:r>
      <w:r w:rsidR="00CD1B51" w:rsidRPr="00A1205A">
        <w:rPr>
          <w:rFonts w:eastAsia="Calibri" w:cs="Times New Roman"/>
          <w:bCs/>
          <w:color w:val="4288C8"/>
          <w:sz w:val="22"/>
          <w:szCs w:val="22"/>
        </w:rPr>
        <w:t xml:space="preserve"> does not hold, the fall-back requirement on Net Notional could be linked to RRAO charges of 0.1%-1%.</w:t>
      </w:r>
    </w:p>
    <w:p w14:paraId="4C12E77D" w14:textId="77777777" w:rsidR="00CD1B51" w:rsidRPr="00A1205A" w:rsidRDefault="00CD1B51" w:rsidP="00CD1B51">
      <w:pPr>
        <w:tabs>
          <w:tab w:val="left" w:pos="2127"/>
        </w:tabs>
        <w:spacing w:after="0"/>
        <w:outlineLvl w:val="0"/>
        <w:rPr>
          <w:rFonts w:eastAsia="Calibri" w:cs="Times New Roman"/>
          <w:bCs/>
          <w:color w:val="4288C8"/>
          <w:sz w:val="22"/>
          <w:szCs w:val="22"/>
        </w:rPr>
      </w:pPr>
    </w:p>
    <w:p w14:paraId="0C479169" w14:textId="5A8FA4DC" w:rsidR="00CD1B51" w:rsidRPr="00A1205A" w:rsidRDefault="00CD1B51" w:rsidP="00CD1B51">
      <w:pPr>
        <w:tabs>
          <w:tab w:val="left" w:pos="2127"/>
        </w:tabs>
        <w:spacing w:after="0"/>
        <w:contextualSpacing/>
        <w:outlineLvl w:val="0"/>
        <w:rPr>
          <w:rFonts w:eastAsia="Calibri" w:cs="Times New Roman"/>
          <w:bCs/>
          <w:color w:val="4288C8"/>
          <w:sz w:val="22"/>
          <w:szCs w:val="22"/>
        </w:rPr>
      </w:pPr>
      <w:r w:rsidRPr="00A1205A">
        <w:rPr>
          <w:rFonts w:eastAsia="Calibri" w:cs="Times New Roman"/>
          <w:bCs/>
          <w:color w:val="4288C8"/>
          <w:sz w:val="22"/>
          <w:szCs w:val="22"/>
        </w:rPr>
        <w:lastRenderedPageBreak/>
        <w:t xml:space="preserve">The only goal of </w:t>
      </w:r>
      <w:r w:rsidR="0069136B">
        <w:rPr>
          <w:rFonts w:eastAsia="Calibri" w:cs="Times New Roman"/>
          <w:bCs/>
          <w:color w:val="4288C8"/>
          <w:sz w:val="22"/>
          <w:szCs w:val="22"/>
        </w:rPr>
        <w:t xml:space="preserve">such </w:t>
      </w:r>
      <w:r w:rsidRPr="00A1205A">
        <w:rPr>
          <w:rFonts w:eastAsia="Calibri" w:cs="Times New Roman"/>
          <w:bCs/>
          <w:color w:val="4288C8"/>
          <w:sz w:val="22"/>
          <w:szCs w:val="22"/>
        </w:rPr>
        <w:t>fall-back is to act as an incentive for banks to invest in relevant uncertain</w:t>
      </w:r>
      <w:r w:rsidR="004B45DF">
        <w:rPr>
          <w:rFonts w:eastAsia="Calibri" w:cs="Times New Roman"/>
          <w:bCs/>
          <w:color w:val="4288C8"/>
          <w:sz w:val="22"/>
          <w:szCs w:val="22"/>
        </w:rPr>
        <w:t xml:space="preserve"> </w:t>
      </w:r>
      <w:r w:rsidRPr="00A1205A">
        <w:rPr>
          <w:rFonts w:eastAsia="Calibri" w:cs="Times New Roman"/>
          <w:bCs/>
          <w:color w:val="4288C8"/>
          <w:sz w:val="22"/>
          <w:szCs w:val="22"/>
        </w:rPr>
        <w:t>measure.</w:t>
      </w:r>
      <w:r w:rsidR="00822268">
        <w:rPr>
          <w:rFonts w:eastAsia="Calibri" w:cs="Times New Roman"/>
          <w:bCs/>
          <w:color w:val="4288C8"/>
          <w:sz w:val="22"/>
          <w:szCs w:val="22"/>
        </w:rPr>
        <w:t xml:space="preserve"> </w:t>
      </w:r>
      <w:r w:rsidRPr="00A1205A">
        <w:rPr>
          <w:rFonts w:eastAsia="Calibri" w:cs="Times New Roman"/>
          <w:bCs/>
          <w:color w:val="4288C8"/>
          <w:sz w:val="22"/>
          <w:szCs w:val="22"/>
        </w:rPr>
        <w:t xml:space="preserve">The desired outcome is not to use any fall-back. A regulation that proposes an increase of use of fall-back as a good way to achieve level playing field would have totally </w:t>
      </w:r>
      <w:r w:rsidR="00822268">
        <w:rPr>
          <w:rFonts w:eastAsia="Calibri" w:cs="Times New Roman"/>
          <w:bCs/>
          <w:color w:val="4288C8"/>
          <w:sz w:val="22"/>
          <w:szCs w:val="22"/>
        </w:rPr>
        <w:t>dis</w:t>
      </w:r>
      <w:r w:rsidRPr="00A1205A">
        <w:rPr>
          <w:rFonts w:eastAsia="Calibri" w:cs="Times New Roman"/>
          <w:bCs/>
          <w:color w:val="4288C8"/>
          <w:sz w:val="22"/>
          <w:szCs w:val="22"/>
        </w:rPr>
        <w:t>missed its purpose.</w:t>
      </w:r>
    </w:p>
    <w:p w14:paraId="30A22B4F" w14:textId="77777777" w:rsidR="00CD1B51" w:rsidRPr="00A1205A" w:rsidRDefault="00CD1B51" w:rsidP="00CD1B51">
      <w:pPr>
        <w:tabs>
          <w:tab w:val="left" w:pos="2127"/>
        </w:tabs>
        <w:spacing w:after="0"/>
        <w:outlineLvl w:val="0"/>
        <w:rPr>
          <w:rFonts w:eastAsia="Calibri" w:cs="Times New Roman"/>
          <w:bCs/>
          <w:color w:val="4288C8"/>
          <w:sz w:val="22"/>
          <w:szCs w:val="22"/>
        </w:rPr>
      </w:pPr>
    </w:p>
    <w:p w14:paraId="58643816" w14:textId="1B8D8E8A" w:rsidR="00CD1B51" w:rsidRPr="00A1205A" w:rsidRDefault="00CD1B51" w:rsidP="00CD1B51">
      <w:pPr>
        <w:tabs>
          <w:tab w:val="left" w:pos="2127"/>
        </w:tabs>
        <w:spacing w:after="0"/>
        <w:outlineLvl w:val="0"/>
        <w:rPr>
          <w:rFonts w:eastAsia="Calibri" w:cs="Times New Roman"/>
          <w:bCs/>
          <w:color w:val="4288C8"/>
          <w:sz w:val="22"/>
          <w:szCs w:val="22"/>
        </w:rPr>
      </w:pPr>
      <w:r w:rsidRPr="00A1205A">
        <w:rPr>
          <w:rFonts w:eastAsia="Calibri" w:cs="Times New Roman"/>
          <w:bCs/>
          <w:color w:val="4288C8"/>
          <w:sz w:val="22"/>
          <w:szCs w:val="22"/>
        </w:rPr>
        <w:t>Whilst providing an apparent standardization, the fall-back scope is also unnecessar</w:t>
      </w:r>
      <w:r w:rsidR="004817FC">
        <w:rPr>
          <w:rFonts w:eastAsia="Calibri" w:cs="Times New Roman"/>
          <w:bCs/>
          <w:color w:val="4288C8"/>
          <w:sz w:val="22"/>
          <w:szCs w:val="22"/>
        </w:rPr>
        <w:t>ily</w:t>
      </w:r>
      <w:r w:rsidRPr="00A1205A">
        <w:rPr>
          <w:rFonts w:eastAsia="Calibri" w:cs="Times New Roman"/>
          <w:bCs/>
          <w:color w:val="4288C8"/>
          <w:sz w:val="22"/>
          <w:szCs w:val="22"/>
        </w:rPr>
        <w:t xml:space="preserve"> subjective as it refers to “</w:t>
      </w:r>
      <w:r w:rsidRPr="00933631">
        <w:rPr>
          <w:rFonts w:eastAsia="Calibri" w:cs="Times New Roman"/>
          <w:bCs/>
          <w:i/>
          <w:iCs/>
          <w:color w:val="4288C8"/>
          <w:sz w:val="22"/>
          <w:szCs w:val="22"/>
        </w:rPr>
        <w:t>the usage of subjective pricing source</w:t>
      </w:r>
      <w:r w:rsidRPr="00A1205A">
        <w:rPr>
          <w:rFonts w:eastAsia="Calibri" w:cs="Times New Roman"/>
          <w:bCs/>
          <w:color w:val="4288C8"/>
          <w:sz w:val="22"/>
          <w:szCs w:val="22"/>
        </w:rPr>
        <w:t>”. Besides, according to the current proposal, the existence of immaterial</w:t>
      </w:r>
      <w:r w:rsidR="00933631">
        <w:rPr>
          <w:rFonts w:eastAsia="Calibri" w:cs="Times New Roman"/>
          <w:bCs/>
          <w:color w:val="4288C8"/>
          <w:sz w:val="22"/>
          <w:szCs w:val="22"/>
        </w:rPr>
        <w:t>,</w:t>
      </w:r>
      <w:r w:rsidRPr="00A1205A">
        <w:rPr>
          <w:rFonts w:eastAsia="Calibri" w:cs="Times New Roman"/>
          <w:bCs/>
          <w:color w:val="4288C8"/>
          <w:sz w:val="22"/>
          <w:szCs w:val="22"/>
        </w:rPr>
        <w:t xml:space="preserve"> untested parameters </w:t>
      </w:r>
      <w:r w:rsidR="00933631">
        <w:rPr>
          <w:rFonts w:eastAsia="Calibri" w:cs="Times New Roman"/>
          <w:bCs/>
          <w:color w:val="4288C8"/>
          <w:sz w:val="22"/>
          <w:szCs w:val="22"/>
        </w:rPr>
        <w:t>could</w:t>
      </w:r>
      <w:r w:rsidRPr="00A1205A">
        <w:rPr>
          <w:rFonts w:eastAsia="Calibri" w:cs="Times New Roman"/>
          <w:bCs/>
          <w:color w:val="4288C8"/>
          <w:sz w:val="22"/>
          <w:szCs w:val="22"/>
        </w:rPr>
        <w:t xml:space="preserve"> also trigger the use of the fall-back approach</w:t>
      </w:r>
      <w:r w:rsidR="00933631">
        <w:rPr>
          <w:rFonts w:eastAsia="Calibri" w:cs="Times New Roman"/>
          <w:bCs/>
          <w:color w:val="4288C8"/>
          <w:sz w:val="22"/>
          <w:szCs w:val="22"/>
        </w:rPr>
        <w:t>,</w:t>
      </w:r>
      <w:r w:rsidRPr="00A1205A">
        <w:rPr>
          <w:rFonts w:eastAsia="Calibri" w:cs="Times New Roman"/>
          <w:bCs/>
          <w:color w:val="4288C8"/>
          <w:sz w:val="22"/>
          <w:szCs w:val="22"/>
        </w:rPr>
        <w:t xml:space="preserve"> which would result in an excessive degree of prudence.</w:t>
      </w:r>
    </w:p>
    <w:p w14:paraId="17C87B49" w14:textId="77777777" w:rsidR="00CD1B51" w:rsidRPr="00A1205A" w:rsidRDefault="00CD1B51" w:rsidP="00CD1B51">
      <w:pPr>
        <w:tabs>
          <w:tab w:val="left" w:pos="2127"/>
        </w:tabs>
        <w:spacing w:after="0"/>
        <w:outlineLvl w:val="0"/>
        <w:rPr>
          <w:rFonts w:eastAsia="Calibri" w:cs="Times New Roman"/>
          <w:bCs/>
          <w:color w:val="4288C8"/>
          <w:sz w:val="22"/>
          <w:szCs w:val="22"/>
        </w:rPr>
      </w:pPr>
    </w:p>
    <w:p w14:paraId="44D0E1E2" w14:textId="025826EC" w:rsidR="00577EB2" w:rsidRDefault="00CD1B51" w:rsidP="00CD1B51">
      <w:pPr>
        <w:tabs>
          <w:tab w:val="left" w:pos="2127"/>
        </w:tabs>
        <w:spacing w:after="0"/>
        <w:outlineLvl w:val="0"/>
        <w:rPr>
          <w:rFonts w:eastAsia="Calibri" w:cs="Times New Roman"/>
          <w:bCs/>
          <w:color w:val="4288C8"/>
          <w:sz w:val="22"/>
          <w:szCs w:val="22"/>
        </w:rPr>
      </w:pPr>
      <w:r w:rsidRPr="00A1205A">
        <w:rPr>
          <w:rFonts w:eastAsia="Calibri" w:cs="Times New Roman"/>
          <w:bCs/>
          <w:color w:val="4288C8"/>
          <w:sz w:val="22"/>
          <w:szCs w:val="22"/>
        </w:rPr>
        <w:t>Furthermore, the paragraph 3 (b) needs to be clarified</w:t>
      </w:r>
      <w:r w:rsidR="00822268">
        <w:rPr>
          <w:rFonts w:eastAsia="Calibri" w:cs="Times New Roman"/>
          <w:bCs/>
          <w:color w:val="4288C8"/>
          <w:sz w:val="22"/>
          <w:szCs w:val="22"/>
        </w:rPr>
        <w:t xml:space="preserve">, in order </w:t>
      </w:r>
      <w:r w:rsidRPr="00A1205A">
        <w:rPr>
          <w:rFonts w:eastAsia="Calibri" w:cs="Times New Roman"/>
          <w:bCs/>
          <w:color w:val="4288C8"/>
          <w:sz w:val="22"/>
          <w:szCs w:val="22"/>
        </w:rPr>
        <w:t>to eliminate potential ambiguity that may impact smaller institutions. These institutions conduct daily valuation directly through an independent unit, distinct from business trading units, with independent pricing sources. Although there isn’t an explicit IPV adjustment, their valuation positions are effectively IPV adjusted. The current proposal might lead them to believe that the fall-back approach must be applied on all of their valuation positions.</w:t>
      </w:r>
    </w:p>
    <w:p w14:paraId="264580DF" w14:textId="77777777" w:rsidR="004020D1" w:rsidRPr="00891234" w:rsidRDefault="004020D1" w:rsidP="00CD1B51">
      <w:pPr>
        <w:tabs>
          <w:tab w:val="left" w:pos="2127"/>
        </w:tabs>
        <w:spacing w:after="0"/>
        <w:outlineLvl w:val="0"/>
        <w:rPr>
          <w:rFonts w:eastAsia="Calibri" w:cs="Times New Roman"/>
          <w:bCs/>
          <w:color w:val="4288C8"/>
          <w:sz w:val="22"/>
          <w:szCs w:val="22"/>
          <w:lang w:val="en-US"/>
        </w:rPr>
      </w:pPr>
    </w:p>
    <w:p w14:paraId="16538DC6" w14:textId="57A1D3A0" w:rsidR="00396FDA" w:rsidRPr="00396FDA" w:rsidRDefault="00396FDA" w:rsidP="00396FDA">
      <w:pPr>
        <w:tabs>
          <w:tab w:val="left" w:pos="2127"/>
        </w:tabs>
        <w:spacing w:after="0"/>
        <w:outlineLvl w:val="0"/>
        <w:rPr>
          <w:rFonts w:eastAsia="Calibri" w:cs="Times New Roman"/>
          <w:b/>
          <w:color w:val="4288C8"/>
          <w:szCs w:val="20"/>
        </w:rPr>
      </w:pPr>
      <w:r w:rsidRPr="00396FDA">
        <w:rPr>
          <w:rFonts w:eastAsia="Calibri" w:cs="Times New Roman"/>
          <w:b/>
          <w:color w:val="4288C8"/>
          <w:szCs w:val="20"/>
        </w:rPr>
        <w:t>Question 6. Fall-back approach - Article 7</w:t>
      </w:r>
    </w:p>
    <w:p w14:paraId="1E729449" w14:textId="77777777" w:rsidR="00396FDA" w:rsidRPr="00396FDA" w:rsidRDefault="00396FDA" w:rsidP="00396FDA">
      <w:pPr>
        <w:tabs>
          <w:tab w:val="left" w:pos="2127"/>
        </w:tabs>
        <w:spacing w:after="0"/>
        <w:outlineLvl w:val="0"/>
        <w:rPr>
          <w:rFonts w:eastAsia="Calibri" w:cs="Times New Roman"/>
          <w:bCs/>
          <w:color w:val="4288C8"/>
          <w:szCs w:val="20"/>
        </w:rPr>
      </w:pPr>
    </w:p>
    <w:p w14:paraId="2CAF8691" w14:textId="77777777" w:rsidR="00396FDA" w:rsidRPr="00396FDA" w:rsidRDefault="00396FDA" w:rsidP="00396FDA">
      <w:pPr>
        <w:tabs>
          <w:tab w:val="left" w:pos="2127"/>
        </w:tabs>
        <w:spacing w:after="0"/>
        <w:outlineLvl w:val="0"/>
        <w:rPr>
          <w:rFonts w:eastAsia="Calibri" w:cs="Times New Roman"/>
          <w:bCs/>
          <w:i/>
          <w:iCs/>
          <w:color w:val="4288C8"/>
          <w:szCs w:val="20"/>
        </w:rPr>
      </w:pPr>
      <w:r w:rsidRPr="00396FDA">
        <w:rPr>
          <w:rFonts w:eastAsia="Calibri" w:cs="Times New Roman"/>
          <w:bCs/>
          <w:i/>
          <w:iCs/>
          <w:color w:val="4288C8"/>
          <w:szCs w:val="20"/>
        </w:rPr>
        <w:t>Do you have any comments in relation to the positions proposed to be subject to the fall-back approach? If you consider a different treatment should be applied to these positions, please describe how you would treat them in order to meet the intended policy objectives and provide the rationale and any evidence supporting your proposal.</w:t>
      </w:r>
    </w:p>
    <w:p w14:paraId="64CA3E8B" w14:textId="77777777" w:rsidR="00396FDA" w:rsidRPr="00396FDA" w:rsidRDefault="00396FDA" w:rsidP="00396FDA">
      <w:pPr>
        <w:tabs>
          <w:tab w:val="left" w:pos="2127"/>
        </w:tabs>
        <w:spacing w:after="0"/>
        <w:outlineLvl w:val="0"/>
        <w:rPr>
          <w:rFonts w:eastAsia="Calibri" w:cs="Times New Roman"/>
          <w:bCs/>
          <w:color w:val="4288C8"/>
          <w:szCs w:val="20"/>
        </w:rPr>
      </w:pPr>
    </w:p>
    <w:p w14:paraId="3DCE3A7B" w14:textId="65A5B0AA" w:rsidR="00396FDA" w:rsidRPr="00396FDA" w:rsidRDefault="00396FDA" w:rsidP="00396FDA">
      <w:pPr>
        <w:tabs>
          <w:tab w:val="left" w:pos="2127"/>
        </w:tabs>
        <w:spacing w:after="0"/>
        <w:outlineLvl w:val="0"/>
        <w:rPr>
          <w:rFonts w:eastAsia="Calibri" w:cs="Times New Roman"/>
          <w:bCs/>
          <w:color w:val="4288C8"/>
          <w:sz w:val="22"/>
          <w:szCs w:val="22"/>
        </w:rPr>
      </w:pPr>
      <w:r w:rsidRPr="00396FDA">
        <w:rPr>
          <w:rFonts w:eastAsia="Calibri" w:cs="Times New Roman"/>
          <w:bCs/>
          <w:color w:val="4288C8"/>
          <w:sz w:val="22"/>
          <w:szCs w:val="22"/>
        </w:rPr>
        <w:t>We believe th</w:t>
      </w:r>
      <w:r>
        <w:rPr>
          <w:rFonts w:eastAsia="Calibri" w:cs="Times New Roman"/>
          <w:bCs/>
          <w:color w:val="4288C8"/>
          <w:sz w:val="22"/>
          <w:szCs w:val="22"/>
        </w:rPr>
        <w:t xml:space="preserve">at the </w:t>
      </w:r>
      <w:r w:rsidRPr="00396FDA">
        <w:rPr>
          <w:rFonts w:eastAsia="Calibri" w:cs="Times New Roman"/>
          <w:bCs/>
          <w:color w:val="4288C8"/>
          <w:sz w:val="22"/>
          <w:szCs w:val="22"/>
        </w:rPr>
        <w:t>RTS should not be instrument</w:t>
      </w:r>
      <w:r>
        <w:rPr>
          <w:rFonts w:eastAsia="Calibri" w:cs="Times New Roman"/>
          <w:bCs/>
          <w:color w:val="4288C8"/>
          <w:sz w:val="22"/>
          <w:szCs w:val="22"/>
        </w:rPr>
        <w:t>-</w:t>
      </w:r>
      <w:r w:rsidRPr="00396FDA">
        <w:rPr>
          <w:rFonts w:eastAsia="Calibri" w:cs="Times New Roman"/>
          <w:bCs/>
          <w:color w:val="4288C8"/>
          <w:sz w:val="22"/>
          <w:szCs w:val="22"/>
        </w:rPr>
        <w:t xml:space="preserve">specific nor prescriptive, but </w:t>
      </w:r>
      <w:r>
        <w:rPr>
          <w:rFonts w:eastAsia="Calibri" w:cs="Times New Roman"/>
          <w:bCs/>
          <w:color w:val="4288C8"/>
          <w:sz w:val="22"/>
          <w:szCs w:val="22"/>
        </w:rPr>
        <w:t>rather</w:t>
      </w:r>
      <w:r w:rsidRPr="00396FDA">
        <w:rPr>
          <w:rFonts w:eastAsia="Calibri" w:cs="Times New Roman"/>
          <w:bCs/>
          <w:color w:val="4288C8"/>
          <w:sz w:val="22"/>
          <w:szCs w:val="22"/>
        </w:rPr>
        <w:t xml:space="preserve"> principle</w:t>
      </w:r>
      <w:r>
        <w:rPr>
          <w:rFonts w:eastAsia="Calibri" w:cs="Times New Roman"/>
          <w:bCs/>
          <w:color w:val="4288C8"/>
          <w:sz w:val="22"/>
          <w:szCs w:val="22"/>
        </w:rPr>
        <w:t>-</w:t>
      </w:r>
      <w:r w:rsidRPr="00396FDA">
        <w:rPr>
          <w:rFonts w:eastAsia="Calibri" w:cs="Times New Roman"/>
          <w:bCs/>
          <w:color w:val="4288C8"/>
          <w:sz w:val="22"/>
          <w:szCs w:val="22"/>
        </w:rPr>
        <w:t xml:space="preserve">based. Notably, market transparency and information in relation to specific instruments </w:t>
      </w:r>
      <w:r>
        <w:rPr>
          <w:rFonts w:eastAsia="Calibri" w:cs="Times New Roman"/>
          <w:bCs/>
          <w:color w:val="4288C8"/>
          <w:sz w:val="22"/>
          <w:szCs w:val="22"/>
        </w:rPr>
        <w:t>could</w:t>
      </w:r>
      <w:r w:rsidRPr="00396FDA">
        <w:rPr>
          <w:rFonts w:eastAsia="Calibri" w:cs="Times New Roman"/>
          <w:bCs/>
          <w:color w:val="4288C8"/>
          <w:sz w:val="22"/>
          <w:szCs w:val="22"/>
        </w:rPr>
        <w:t xml:space="preserve"> evolve over time and </w:t>
      </w:r>
      <w:r>
        <w:rPr>
          <w:rFonts w:eastAsia="Calibri" w:cs="Times New Roman"/>
          <w:bCs/>
          <w:color w:val="4288C8"/>
          <w:sz w:val="22"/>
          <w:szCs w:val="22"/>
        </w:rPr>
        <w:t>might</w:t>
      </w:r>
      <w:r w:rsidRPr="00396FDA">
        <w:rPr>
          <w:rFonts w:eastAsia="Calibri" w:cs="Times New Roman"/>
          <w:bCs/>
          <w:color w:val="4288C8"/>
          <w:sz w:val="22"/>
          <w:szCs w:val="22"/>
        </w:rPr>
        <w:t xml:space="preserve"> depend on firms access to information.</w:t>
      </w:r>
    </w:p>
    <w:p w14:paraId="2BA64E50" w14:textId="77777777" w:rsidR="00396FDA" w:rsidRPr="00963AAD" w:rsidRDefault="00396FDA" w:rsidP="00396FDA">
      <w:pPr>
        <w:tabs>
          <w:tab w:val="left" w:pos="2127"/>
        </w:tabs>
        <w:spacing w:after="0"/>
        <w:outlineLvl w:val="0"/>
        <w:rPr>
          <w:rFonts w:eastAsia="Calibri" w:cs="Times New Roman"/>
          <w:bCs/>
          <w:color w:val="4288C8"/>
          <w:sz w:val="22"/>
          <w:szCs w:val="22"/>
          <w:lang w:val="en-US"/>
        </w:rPr>
      </w:pPr>
    </w:p>
    <w:p w14:paraId="26170D6F" w14:textId="4099356E" w:rsidR="00396FDA" w:rsidRDefault="00396FDA" w:rsidP="00396FDA">
      <w:pPr>
        <w:tabs>
          <w:tab w:val="left" w:pos="2127"/>
        </w:tabs>
        <w:spacing w:after="0"/>
        <w:outlineLvl w:val="0"/>
        <w:rPr>
          <w:rFonts w:eastAsia="Calibri" w:cs="Times New Roman"/>
          <w:bCs/>
          <w:color w:val="4288C8"/>
          <w:sz w:val="22"/>
          <w:szCs w:val="22"/>
        </w:rPr>
      </w:pPr>
      <w:r w:rsidRPr="00396FDA">
        <w:rPr>
          <w:rFonts w:eastAsia="Calibri" w:cs="Times New Roman"/>
          <w:bCs/>
          <w:color w:val="4288C8"/>
          <w:sz w:val="22"/>
          <w:szCs w:val="22"/>
        </w:rPr>
        <w:t>More specifically, no explicit consideration should be made for unlisted equity. Various valuation techniques (</w:t>
      </w:r>
      <w:r w:rsidR="007F5AAD">
        <w:rPr>
          <w:rFonts w:eastAsia="Calibri" w:cs="Times New Roman"/>
          <w:bCs/>
          <w:color w:val="4288C8"/>
          <w:sz w:val="22"/>
          <w:szCs w:val="22"/>
        </w:rPr>
        <w:t>e.g.</w:t>
      </w:r>
      <w:r w:rsidR="007F5AAD" w:rsidRPr="00396FDA">
        <w:rPr>
          <w:rFonts w:eastAsia="Calibri" w:cs="Times New Roman"/>
          <w:bCs/>
          <w:color w:val="4288C8"/>
          <w:sz w:val="22"/>
          <w:szCs w:val="22"/>
        </w:rPr>
        <w:t xml:space="preserve"> comparables</w:t>
      </w:r>
      <w:r w:rsidRPr="00396FDA">
        <w:rPr>
          <w:rFonts w:eastAsia="Calibri" w:cs="Times New Roman"/>
          <w:bCs/>
          <w:color w:val="4288C8"/>
          <w:sz w:val="22"/>
          <w:szCs w:val="22"/>
        </w:rPr>
        <w:t xml:space="preserve">, </w:t>
      </w:r>
      <w:r w:rsidR="007F5AAD">
        <w:rPr>
          <w:rFonts w:eastAsia="Calibri" w:cs="Times New Roman"/>
          <w:bCs/>
          <w:color w:val="4288C8"/>
          <w:sz w:val="22"/>
          <w:szCs w:val="22"/>
        </w:rPr>
        <w:t>discounted cash flow)</w:t>
      </w:r>
      <w:r w:rsidRPr="00396FDA">
        <w:rPr>
          <w:rFonts w:eastAsia="Calibri" w:cs="Times New Roman"/>
          <w:bCs/>
          <w:color w:val="4288C8"/>
          <w:sz w:val="22"/>
          <w:szCs w:val="22"/>
        </w:rPr>
        <w:t xml:space="preserve"> already exist that are described in IPEV Valuation Guidelines and practically implemented (see IMF Valuation of Unlisted Equity).</w:t>
      </w:r>
      <w:r w:rsidR="00345B38">
        <w:rPr>
          <w:rFonts w:eastAsia="Calibri" w:cs="Times New Roman"/>
          <w:bCs/>
          <w:color w:val="4288C8"/>
          <w:sz w:val="22"/>
          <w:szCs w:val="22"/>
        </w:rPr>
        <w:t xml:space="preserve"> </w:t>
      </w:r>
      <w:r w:rsidRPr="00396FDA">
        <w:rPr>
          <w:rFonts w:eastAsia="Calibri" w:cs="Times New Roman"/>
          <w:bCs/>
          <w:color w:val="4288C8"/>
          <w:sz w:val="22"/>
          <w:szCs w:val="22"/>
        </w:rPr>
        <w:t xml:space="preserve">These techniques should enable the derivation of appropriate uncertainty range. </w:t>
      </w:r>
    </w:p>
    <w:p w14:paraId="030D1DD8" w14:textId="77777777" w:rsidR="00C07042" w:rsidRDefault="00C07042" w:rsidP="00396FDA">
      <w:pPr>
        <w:tabs>
          <w:tab w:val="left" w:pos="2127"/>
        </w:tabs>
        <w:spacing w:after="0"/>
        <w:outlineLvl w:val="0"/>
        <w:rPr>
          <w:rFonts w:eastAsia="Calibri" w:cs="Times New Roman"/>
          <w:bCs/>
          <w:color w:val="4288C8"/>
          <w:sz w:val="22"/>
          <w:szCs w:val="22"/>
        </w:rPr>
      </w:pPr>
    </w:p>
    <w:p w14:paraId="1EA2B7F0" w14:textId="0C4C0C62" w:rsidR="00525890" w:rsidRPr="00FF08D9" w:rsidRDefault="00DF0110" w:rsidP="00396FDA">
      <w:pPr>
        <w:tabs>
          <w:tab w:val="left" w:pos="2127"/>
        </w:tabs>
        <w:spacing w:after="0"/>
        <w:outlineLvl w:val="0"/>
        <w:rPr>
          <w:rFonts w:eastAsia="Calibri" w:cs="Times New Roman"/>
          <w:bCs/>
          <w:color w:val="4288C8"/>
          <w:sz w:val="22"/>
          <w:szCs w:val="22"/>
        </w:rPr>
      </w:pPr>
      <w:r w:rsidRPr="00FF08D9">
        <w:rPr>
          <w:rFonts w:eastAsia="Calibri" w:cs="Times New Roman"/>
          <w:bCs/>
          <w:color w:val="4288C8"/>
          <w:sz w:val="22"/>
          <w:szCs w:val="22"/>
        </w:rPr>
        <w:t>W</w:t>
      </w:r>
      <w:r w:rsidR="00824181" w:rsidRPr="00FF08D9">
        <w:rPr>
          <w:rFonts w:eastAsia="Calibri" w:cs="Times New Roman"/>
          <w:bCs/>
          <w:color w:val="4288C8"/>
          <w:sz w:val="22"/>
          <w:szCs w:val="22"/>
        </w:rPr>
        <w:t xml:space="preserve">e kindly ask the EBA to clarify the </w:t>
      </w:r>
      <w:r w:rsidR="00824181" w:rsidRPr="00FF08D9">
        <w:rPr>
          <w:rFonts w:eastAsia="Calibri" w:cs="Times New Roman"/>
          <w:bCs/>
          <w:color w:val="4288C8"/>
          <w:sz w:val="22"/>
          <w:szCs w:val="22"/>
          <w:lang w:val="en-US"/>
        </w:rPr>
        <w:t xml:space="preserve">scope and </w:t>
      </w:r>
      <w:r w:rsidR="00824181" w:rsidRPr="00FF08D9">
        <w:rPr>
          <w:rFonts w:eastAsia="Calibri" w:cs="Times New Roman"/>
          <w:bCs/>
          <w:color w:val="4288C8"/>
          <w:sz w:val="22"/>
          <w:szCs w:val="22"/>
        </w:rPr>
        <w:t>definition of “unlisted equities”, because there can be many unique cases around “unlisted”, especially in the trading book; for instance, temporary suspension of equity stocks resulting in no recent price quotes but historical data is available, a recent re-listing on another exchange where price information will become available for the new shares. Can</w:t>
      </w:r>
      <w:r w:rsidR="00963AAD">
        <w:rPr>
          <w:rFonts w:eastAsia="Calibri" w:cs="Times New Roman"/>
          <w:bCs/>
          <w:color w:val="4288C8"/>
          <w:sz w:val="22"/>
          <w:szCs w:val="22"/>
        </w:rPr>
        <w:t xml:space="preserve"> the </w:t>
      </w:r>
      <w:r w:rsidR="00824181" w:rsidRPr="00FF08D9">
        <w:rPr>
          <w:rFonts w:eastAsia="Calibri" w:cs="Times New Roman"/>
          <w:bCs/>
          <w:color w:val="4288C8"/>
          <w:sz w:val="22"/>
          <w:szCs w:val="22"/>
        </w:rPr>
        <w:t>EBA clarify that the fall-back approach shall apply to the banking book valuation positions consisting of unlisted equities?</w:t>
      </w:r>
    </w:p>
    <w:p w14:paraId="5D6B21E8" w14:textId="2813E772" w:rsidR="00396FDA" w:rsidRPr="00396FDA" w:rsidRDefault="00396FDA" w:rsidP="00396FDA">
      <w:pPr>
        <w:tabs>
          <w:tab w:val="left" w:pos="2127"/>
        </w:tabs>
        <w:spacing w:after="0"/>
        <w:outlineLvl w:val="0"/>
        <w:rPr>
          <w:rFonts w:eastAsia="Calibri" w:cs="Times New Roman"/>
          <w:bCs/>
          <w:color w:val="4288C8"/>
          <w:sz w:val="22"/>
          <w:szCs w:val="22"/>
        </w:rPr>
      </w:pPr>
      <w:r w:rsidRPr="00396FDA">
        <w:rPr>
          <w:rFonts w:eastAsia="Calibri" w:cs="Times New Roman"/>
          <w:bCs/>
          <w:color w:val="4288C8"/>
          <w:sz w:val="22"/>
          <w:szCs w:val="22"/>
        </w:rPr>
        <w:t xml:space="preserve"> </w:t>
      </w:r>
    </w:p>
    <w:p w14:paraId="72009F2A" w14:textId="3F2E863C" w:rsidR="00396FDA" w:rsidRPr="00396FDA" w:rsidRDefault="00396FDA" w:rsidP="00396FDA">
      <w:pPr>
        <w:tabs>
          <w:tab w:val="left" w:pos="2127"/>
        </w:tabs>
        <w:spacing w:after="0"/>
        <w:outlineLvl w:val="0"/>
        <w:rPr>
          <w:rFonts w:eastAsia="Calibri" w:cs="Times New Roman"/>
          <w:bCs/>
          <w:color w:val="4288C8"/>
          <w:sz w:val="22"/>
          <w:szCs w:val="22"/>
        </w:rPr>
      </w:pPr>
      <w:r w:rsidRPr="00396FDA">
        <w:rPr>
          <w:rFonts w:eastAsia="Calibri" w:cs="Times New Roman"/>
          <w:bCs/>
          <w:color w:val="4288C8"/>
          <w:sz w:val="22"/>
          <w:szCs w:val="22"/>
        </w:rPr>
        <w:lastRenderedPageBreak/>
        <w:t xml:space="preserve">Moreover, current RTS </w:t>
      </w:r>
      <w:r w:rsidR="007F5AAD">
        <w:rPr>
          <w:rFonts w:eastAsia="Calibri" w:cs="Times New Roman"/>
          <w:bCs/>
          <w:color w:val="4288C8"/>
          <w:sz w:val="22"/>
          <w:szCs w:val="22"/>
        </w:rPr>
        <w:t>state</w:t>
      </w:r>
      <w:r w:rsidRPr="00396FDA">
        <w:rPr>
          <w:rFonts w:eastAsia="Calibri" w:cs="Times New Roman"/>
          <w:bCs/>
          <w:color w:val="4288C8"/>
          <w:sz w:val="22"/>
          <w:szCs w:val="22"/>
        </w:rPr>
        <w:t xml:space="preserve"> that PVA should be aligned with IPV process. The proposed fall back would contravene to this principle for the unlisted equity where a valuation technic is already used.</w:t>
      </w:r>
    </w:p>
    <w:p w14:paraId="1CE6FEF4" w14:textId="77777777" w:rsidR="00396FDA" w:rsidRPr="00396FDA" w:rsidRDefault="00396FDA" w:rsidP="00396FDA">
      <w:pPr>
        <w:tabs>
          <w:tab w:val="left" w:pos="2127"/>
        </w:tabs>
        <w:spacing w:after="0"/>
        <w:outlineLvl w:val="0"/>
        <w:rPr>
          <w:rFonts w:eastAsia="Calibri" w:cs="Times New Roman"/>
          <w:bCs/>
          <w:color w:val="4288C8"/>
          <w:sz w:val="22"/>
          <w:szCs w:val="22"/>
        </w:rPr>
      </w:pPr>
    </w:p>
    <w:p w14:paraId="64CF914F" w14:textId="4D26180C" w:rsidR="00396FDA" w:rsidRPr="00396FDA" w:rsidRDefault="00396FDA" w:rsidP="00396FDA">
      <w:pPr>
        <w:tabs>
          <w:tab w:val="left" w:pos="2127"/>
        </w:tabs>
        <w:spacing w:after="0"/>
        <w:outlineLvl w:val="0"/>
        <w:rPr>
          <w:rFonts w:eastAsia="Calibri" w:cs="Times New Roman"/>
          <w:bCs/>
          <w:color w:val="4288C8"/>
          <w:sz w:val="22"/>
          <w:szCs w:val="22"/>
        </w:rPr>
      </w:pPr>
      <w:r w:rsidRPr="00396FDA">
        <w:rPr>
          <w:rFonts w:eastAsia="Calibri" w:cs="Times New Roman"/>
          <w:bCs/>
          <w:color w:val="4288C8"/>
          <w:sz w:val="22"/>
          <w:szCs w:val="22"/>
        </w:rPr>
        <w:t xml:space="preserve">In addition, the imposed fall-back approach on unlisted share is risk insensitive and would not take into account the nature of the investments (some areas of Private Equity are riskier than others), the investment policy of the manager, and the way valuation is monitored in the vehicle. Imposing a fixed percentage is then an incentive to invest in the riskiest investments which would attract the best return on equity (since equity required is </w:t>
      </w:r>
      <w:r w:rsidR="007F5AAD">
        <w:rPr>
          <w:rFonts w:eastAsia="Calibri" w:cs="Times New Roman"/>
          <w:bCs/>
          <w:color w:val="4288C8"/>
          <w:sz w:val="22"/>
          <w:szCs w:val="22"/>
        </w:rPr>
        <w:t>equal</w:t>
      </w:r>
      <w:r w:rsidRPr="00396FDA">
        <w:rPr>
          <w:rFonts w:eastAsia="Calibri" w:cs="Times New Roman"/>
          <w:bCs/>
          <w:color w:val="4288C8"/>
          <w:sz w:val="22"/>
          <w:szCs w:val="22"/>
        </w:rPr>
        <w:t xml:space="preserve"> regardless of the aspects mentioned above). </w:t>
      </w:r>
    </w:p>
    <w:p w14:paraId="0A066629" w14:textId="77777777" w:rsidR="00396FDA" w:rsidRPr="00396FDA" w:rsidRDefault="00396FDA" w:rsidP="00396FDA">
      <w:pPr>
        <w:tabs>
          <w:tab w:val="left" w:pos="2127"/>
        </w:tabs>
        <w:spacing w:after="0"/>
        <w:outlineLvl w:val="0"/>
        <w:rPr>
          <w:rFonts w:eastAsia="Calibri" w:cs="Times New Roman"/>
          <w:bCs/>
          <w:color w:val="4288C8"/>
          <w:sz w:val="22"/>
          <w:szCs w:val="22"/>
        </w:rPr>
      </w:pPr>
    </w:p>
    <w:p w14:paraId="3289D9EF" w14:textId="782FA752" w:rsidR="00396FDA" w:rsidRPr="00396FDA" w:rsidRDefault="00396FDA" w:rsidP="00396FDA">
      <w:pPr>
        <w:tabs>
          <w:tab w:val="left" w:pos="2127"/>
        </w:tabs>
        <w:spacing w:after="0"/>
        <w:outlineLvl w:val="0"/>
        <w:rPr>
          <w:rFonts w:eastAsia="Calibri" w:cs="Times New Roman"/>
          <w:bCs/>
          <w:color w:val="4288C8"/>
          <w:sz w:val="22"/>
          <w:szCs w:val="22"/>
        </w:rPr>
      </w:pPr>
      <w:r w:rsidRPr="00396FDA">
        <w:rPr>
          <w:rFonts w:eastAsia="Calibri" w:cs="Times New Roman"/>
          <w:bCs/>
          <w:color w:val="4288C8"/>
          <w:sz w:val="22"/>
          <w:szCs w:val="22"/>
        </w:rPr>
        <w:t xml:space="preserve">Illiquid positions requiring valuation inputs that cannot be easily calibrated to market information are those for which a valuation uncertainty measure is the most useful and </w:t>
      </w:r>
      <w:r w:rsidR="00EF424B">
        <w:rPr>
          <w:rFonts w:eastAsia="Calibri" w:cs="Times New Roman"/>
          <w:bCs/>
          <w:color w:val="4288C8"/>
          <w:sz w:val="22"/>
          <w:szCs w:val="22"/>
          <w:lang w:val="en-US"/>
        </w:rPr>
        <w:t>p</w:t>
      </w:r>
      <w:proofErr w:type="spellStart"/>
      <w:r w:rsidRPr="00396FDA">
        <w:rPr>
          <w:rFonts w:eastAsia="Calibri" w:cs="Times New Roman"/>
          <w:bCs/>
          <w:color w:val="4288C8"/>
          <w:sz w:val="22"/>
          <w:szCs w:val="22"/>
        </w:rPr>
        <w:t>rudent</w:t>
      </w:r>
      <w:proofErr w:type="spellEnd"/>
      <w:r w:rsidRPr="00396FDA">
        <w:rPr>
          <w:rFonts w:eastAsia="Calibri" w:cs="Times New Roman"/>
          <w:bCs/>
          <w:color w:val="4288C8"/>
          <w:sz w:val="22"/>
          <w:szCs w:val="22"/>
        </w:rPr>
        <w:t xml:space="preserve"> value regulation </w:t>
      </w:r>
      <w:r w:rsidR="007F5AAD">
        <w:rPr>
          <w:rFonts w:eastAsia="Calibri" w:cs="Times New Roman"/>
          <w:bCs/>
          <w:color w:val="4288C8"/>
          <w:sz w:val="22"/>
          <w:szCs w:val="22"/>
        </w:rPr>
        <w:t>goals</w:t>
      </w:r>
      <w:r w:rsidRPr="00396FDA">
        <w:rPr>
          <w:rFonts w:eastAsia="Calibri" w:cs="Times New Roman"/>
          <w:bCs/>
          <w:color w:val="4288C8"/>
          <w:sz w:val="22"/>
          <w:szCs w:val="22"/>
        </w:rPr>
        <w:t xml:space="preserve"> </w:t>
      </w:r>
      <w:r w:rsidR="007F5AAD">
        <w:rPr>
          <w:rFonts w:eastAsia="Calibri" w:cs="Times New Roman"/>
          <w:bCs/>
          <w:color w:val="4288C8"/>
          <w:sz w:val="22"/>
          <w:szCs w:val="22"/>
        </w:rPr>
        <w:t xml:space="preserve">are </w:t>
      </w:r>
      <w:r w:rsidRPr="00396FDA">
        <w:rPr>
          <w:rFonts w:eastAsia="Calibri" w:cs="Times New Roman"/>
          <w:bCs/>
          <w:color w:val="4288C8"/>
          <w:sz w:val="22"/>
          <w:szCs w:val="22"/>
        </w:rPr>
        <w:t xml:space="preserve">to achieve this. </w:t>
      </w:r>
      <w:r w:rsidR="007F5AAD">
        <w:rPr>
          <w:rFonts w:eastAsia="Calibri" w:cs="Times New Roman"/>
          <w:bCs/>
          <w:color w:val="4288C8"/>
          <w:sz w:val="22"/>
          <w:szCs w:val="22"/>
        </w:rPr>
        <w:t>By r</w:t>
      </w:r>
      <w:r w:rsidRPr="00396FDA">
        <w:rPr>
          <w:rFonts w:eastAsia="Calibri" w:cs="Times New Roman"/>
          <w:bCs/>
          <w:color w:val="4288C8"/>
          <w:sz w:val="22"/>
          <w:szCs w:val="22"/>
        </w:rPr>
        <w:t xml:space="preserve">esorting to an arbitrary fall-back approach in the case where a real uncertainty exists and requires judgment as to its quantification will </w:t>
      </w:r>
      <w:r w:rsidR="007F5AAD">
        <w:rPr>
          <w:rFonts w:eastAsia="Calibri" w:cs="Times New Roman"/>
          <w:bCs/>
          <w:color w:val="4288C8"/>
          <w:sz w:val="22"/>
          <w:szCs w:val="22"/>
        </w:rPr>
        <w:t>dis</w:t>
      </w:r>
      <w:r w:rsidRPr="00396FDA">
        <w:rPr>
          <w:rFonts w:eastAsia="Calibri" w:cs="Times New Roman"/>
          <w:bCs/>
          <w:color w:val="4288C8"/>
          <w:sz w:val="22"/>
          <w:szCs w:val="22"/>
        </w:rPr>
        <w:t>miss the goal of such a regulation. This would be like saying that all credit risk capital or insurance risk capital (which are both not market based) should be measured with a forfeit like the old Cooke ratio. On the contrary, we think that risk sensitivity should be preserved as much as possible. A risk sensitivity-based calculation with more conservative defaulting shocks and a potential remove of diversification factor should be a better alternative.</w:t>
      </w:r>
    </w:p>
    <w:p w14:paraId="6D7A71A6" w14:textId="77777777" w:rsidR="00396FDA" w:rsidRPr="00396FDA" w:rsidRDefault="00396FDA" w:rsidP="00396FDA">
      <w:pPr>
        <w:tabs>
          <w:tab w:val="left" w:pos="2127"/>
        </w:tabs>
        <w:spacing w:after="0"/>
        <w:outlineLvl w:val="0"/>
        <w:rPr>
          <w:rFonts w:eastAsia="Calibri" w:cs="Times New Roman"/>
          <w:bCs/>
          <w:color w:val="4288C8"/>
          <w:sz w:val="22"/>
          <w:szCs w:val="22"/>
        </w:rPr>
      </w:pPr>
    </w:p>
    <w:p w14:paraId="0D66E69E" w14:textId="2744F852" w:rsidR="00396FDA" w:rsidRPr="00396FDA" w:rsidRDefault="00396FDA" w:rsidP="00396FDA">
      <w:pPr>
        <w:tabs>
          <w:tab w:val="left" w:pos="2127"/>
        </w:tabs>
        <w:spacing w:after="0"/>
        <w:outlineLvl w:val="0"/>
        <w:rPr>
          <w:rFonts w:eastAsia="Calibri" w:cs="Times New Roman"/>
          <w:bCs/>
          <w:color w:val="4288C8"/>
          <w:sz w:val="22"/>
          <w:szCs w:val="22"/>
        </w:rPr>
      </w:pPr>
      <w:r w:rsidRPr="00396FDA">
        <w:rPr>
          <w:rFonts w:eastAsia="Calibri" w:cs="Times New Roman"/>
          <w:bCs/>
          <w:color w:val="4288C8"/>
          <w:sz w:val="22"/>
          <w:szCs w:val="22"/>
        </w:rPr>
        <w:t>For issues such as unavailability or non-reliability of IPV sources for some of the valuation inputs</w:t>
      </w:r>
      <w:r w:rsidR="00B66475">
        <w:rPr>
          <w:rFonts w:eastAsia="Calibri" w:cs="Times New Roman"/>
          <w:bCs/>
          <w:color w:val="4288C8"/>
          <w:sz w:val="22"/>
          <w:szCs w:val="22"/>
        </w:rPr>
        <w:t>,</w:t>
      </w:r>
      <w:r w:rsidRPr="00396FDA">
        <w:rPr>
          <w:rFonts w:eastAsia="Calibri" w:cs="Times New Roman"/>
          <w:bCs/>
          <w:color w:val="4288C8"/>
          <w:sz w:val="22"/>
          <w:szCs w:val="22"/>
        </w:rPr>
        <w:t xml:space="preserve"> a materiality assessment is necessary before triggering the fall-back approach since in this case an expert-based approach on this non-material valuation input will very likely be more realistic than a fall-back approach.</w:t>
      </w:r>
    </w:p>
    <w:p w14:paraId="3FA9F1DF" w14:textId="77777777" w:rsidR="00396FDA" w:rsidRPr="00396FDA" w:rsidRDefault="00396FDA" w:rsidP="00396FDA">
      <w:pPr>
        <w:tabs>
          <w:tab w:val="left" w:pos="2127"/>
        </w:tabs>
        <w:spacing w:after="0"/>
        <w:outlineLvl w:val="0"/>
        <w:rPr>
          <w:rFonts w:eastAsia="Calibri" w:cs="Times New Roman"/>
          <w:bCs/>
          <w:color w:val="4288C8"/>
          <w:sz w:val="22"/>
          <w:szCs w:val="22"/>
        </w:rPr>
      </w:pPr>
    </w:p>
    <w:p w14:paraId="75B0D3DF" w14:textId="57328701" w:rsidR="00396FDA" w:rsidRPr="00396FDA" w:rsidRDefault="00396FDA" w:rsidP="00396FDA">
      <w:pPr>
        <w:tabs>
          <w:tab w:val="left" w:pos="2127"/>
        </w:tabs>
        <w:spacing w:after="0"/>
        <w:outlineLvl w:val="0"/>
        <w:rPr>
          <w:rFonts w:eastAsia="Calibri" w:cs="Times New Roman"/>
          <w:bCs/>
          <w:color w:val="4288C8"/>
          <w:sz w:val="22"/>
          <w:szCs w:val="22"/>
        </w:rPr>
      </w:pPr>
      <w:r w:rsidRPr="00396FDA">
        <w:rPr>
          <w:rFonts w:eastAsia="Calibri" w:cs="Times New Roman"/>
          <w:bCs/>
          <w:color w:val="4288C8"/>
          <w:sz w:val="22"/>
          <w:szCs w:val="22"/>
        </w:rPr>
        <w:t xml:space="preserve">Any proposed fall-back should be envisioned only </w:t>
      </w:r>
      <w:r w:rsidR="00B66475">
        <w:rPr>
          <w:rFonts w:eastAsia="Calibri" w:cs="Times New Roman"/>
          <w:bCs/>
          <w:color w:val="4288C8"/>
          <w:sz w:val="22"/>
          <w:szCs w:val="22"/>
        </w:rPr>
        <w:t>as</w:t>
      </w:r>
      <w:r w:rsidRPr="00396FDA">
        <w:rPr>
          <w:rFonts w:eastAsia="Calibri" w:cs="Times New Roman"/>
          <w:bCs/>
          <w:color w:val="4288C8"/>
          <w:sz w:val="22"/>
          <w:szCs w:val="22"/>
        </w:rPr>
        <w:t xml:space="preserve"> last resort when the firm is not in a position to gauge an appropriate level of certainty, using any sensible inference or extrapolation technique. Regulators may alternatively use the fall-back approach as a challenger model.</w:t>
      </w:r>
    </w:p>
    <w:p w14:paraId="1BBD0661" w14:textId="77777777" w:rsidR="00396FDA" w:rsidRPr="00396FDA" w:rsidRDefault="00396FDA" w:rsidP="00396FDA">
      <w:pPr>
        <w:tabs>
          <w:tab w:val="left" w:pos="2127"/>
        </w:tabs>
        <w:spacing w:after="0"/>
        <w:outlineLvl w:val="0"/>
        <w:rPr>
          <w:rFonts w:eastAsia="Calibri" w:cs="Times New Roman"/>
          <w:bCs/>
          <w:color w:val="4288C8"/>
          <w:sz w:val="22"/>
          <w:szCs w:val="22"/>
        </w:rPr>
      </w:pPr>
    </w:p>
    <w:p w14:paraId="2F445446" w14:textId="65253260" w:rsidR="00577EB2" w:rsidRDefault="00976DE8" w:rsidP="00396FDA">
      <w:pPr>
        <w:tabs>
          <w:tab w:val="left" w:pos="2127"/>
        </w:tabs>
        <w:spacing w:after="0"/>
        <w:contextualSpacing/>
        <w:outlineLvl w:val="0"/>
        <w:rPr>
          <w:rFonts w:eastAsia="Calibri" w:cs="Times New Roman"/>
          <w:bCs/>
          <w:color w:val="4288C8"/>
          <w:sz w:val="22"/>
          <w:szCs w:val="22"/>
        </w:rPr>
      </w:pPr>
      <w:r>
        <w:rPr>
          <w:rFonts w:eastAsia="Calibri" w:cs="Times New Roman"/>
          <w:bCs/>
          <w:color w:val="4288C8"/>
          <w:sz w:val="22"/>
          <w:szCs w:val="22"/>
        </w:rPr>
        <w:t>Taking into consideration</w:t>
      </w:r>
      <w:r w:rsidR="00396FDA" w:rsidRPr="00396FDA">
        <w:rPr>
          <w:rFonts w:eastAsia="Calibri" w:cs="Times New Roman"/>
          <w:bCs/>
          <w:color w:val="4288C8"/>
          <w:sz w:val="22"/>
          <w:szCs w:val="22"/>
        </w:rPr>
        <w:t xml:space="preserve"> that it would further increase the uneven level playing field with other major jurisdictions, the proposal would be a total </w:t>
      </w:r>
      <w:r w:rsidR="00396FDA" w:rsidRPr="00976DE8">
        <w:rPr>
          <w:rFonts w:eastAsia="Calibri" w:cs="Times New Roman"/>
          <w:bCs/>
          <w:color w:val="4288C8"/>
          <w:sz w:val="22"/>
          <w:szCs w:val="22"/>
          <w:u w:val="single"/>
        </w:rPr>
        <w:t>showstopper</w:t>
      </w:r>
      <w:r w:rsidR="00396FDA" w:rsidRPr="00396FDA">
        <w:rPr>
          <w:rFonts w:eastAsia="Calibri" w:cs="Times New Roman"/>
          <w:bCs/>
          <w:color w:val="4288C8"/>
          <w:sz w:val="22"/>
          <w:szCs w:val="22"/>
        </w:rPr>
        <w:t xml:space="preserve">. Finally, this will </w:t>
      </w:r>
      <w:r>
        <w:rPr>
          <w:rFonts w:eastAsia="Calibri" w:cs="Times New Roman"/>
          <w:bCs/>
          <w:color w:val="4288C8"/>
          <w:sz w:val="22"/>
          <w:szCs w:val="22"/>
        </w:rPr>
        <w:t xml:space="preserve">contribute to the removal </w:t>
      </w:r>
      <w:r w:rsidR="00396FDA" w:rsidRPr="00396FDA">
        <w:rPr>
          <w:rFonts w:eastAsia="Calibri" w:cs="Times New Roman"/>
          <w:bCs/>
          <w:color w:val="4288C8"/>
          <w:sz w:val="22"/>
          <w:szCs w:val="22"/>
        </w:rPr>
        <w:t>from the landscape of some dedicated area</w:t>
      </w:r>
      <w:r>
        <w:rPr>
          <w:rFonts w:eastAsia="Calibri" w:cs="Times New Roman"/>
          <w:bCs/>
          <w:color w:val="4288C8"/>
          <w:sz w:val="22"/>
          <w:szCs w:val="22"/>
        </w:rPr>
        <w:t>s</w:t>
      </w:r>
      <w:r w:rsidR="00396FDA" w:rsidRPr="00396FDA">
        <w:rPr>
          <w:rFonts w:eastAsia="Calibri" w:cs="Times New Roman"/>
          <w:bCs/>
          <w:color w:val="4288C8"/>
          <w:sz w:val="22"/>
          <w:szCs w:val="22"/>
        </w:rPr>
        <w:t xml:space="preserve"> of the banking industry the European regulated institution. This will </w:t>
      </w:r>
      <w:r>
        <w:rPr>
          <w:rFonts w:eastAsia="Calibri" w:cs="Times New Roman"/>
          <w:bCs/>
          <w:color w:val="4288C8"/>
          <w:sz w:val="22"/>
          <w:szCs w:val="22"/>
        </w:rPr>
        <w:t xml:space="preserve">also </w:t>
      </w:r>
      <w:r w:rsidR="00396FDA" w:rsidRPr="00396FDA">
        <w:rPr>
          <w:rFonts w:eastAsia="Calibri" w:cs="Times New Roman"/>
          <w:bCs/>
          <w:color w:val="4288C8"/>
          <w:sz w:val="22"/>
          <w:szCs w:val="22"/>
        </w:rPr>
        <w:t xml:space="preserve">concern the private equity which will increase in the financing of the green economy and the offer to clients of complex products </w:t>
      </w:r>
      <w:r>
        <w:rPr>
          <w:rFonts w:eastAsia="Calibri" w:cs="Times New Roman"/>
          <w:bCs/>
          <w:color w:val="4288C8"/>
          <w:sz w:val="22"/>
          <w:szCs w:val="22"/>
        </w:rPr>
        <w:t>while</w:t>
      </w:r>
      <w:r w:rsidR="00396FDA" w:rsidRPr="00396FDA">
        <w:rPr>
          <w:rFonts w:eastAsia="Calibri" w:cs="Times New Roman"/>
          <w:bCs/>
          <w:color w:val="4288C8"/>
          <w:sz w:val="22"/>
          <w:szCs w:val="22"/>
        </w:rPr>
        <w:t xml:space="preserve"> some important players </w:t>
      </w:r>
      <w:r>
        <w:rPr>
          <w:rFonts w:eastAsia="Calibri" w:cs="Times New Roman"/>
          <w:bCs/>
          <w:color w:val="4288C8"/>
          <w:sz w:val="22"/>
          <w:szCs w:val="22"/>
        </w:rPr>
        <w:t>being</w:t>
      </w:r>
      <w:r w:rsidR="00396FDA" w:rsidRPr="00396FDA">
        <w:rPr>
          <w:rFonts w:eastAsia="Calibri" w:cs="Times New Roman"/>
          <w:bCs/>
          <w:color w:val="4288C8"/>
          <w:sz w:val="22"/>
          <w:szCs w:val="22"/>
        </w:rPr>
        <w:t xml:space="preserve"> in the EU. This uneven level playing field will </w:t>
      </w:r>
      <w:r>
        <w:rPr>
          <w:rFonts w:eastAsia="Calibri" w:cs="Times New Roman"/>
          <w:bCs/>
          <w:color w:val="4288C8"/>
          <w:sz w:val="22"/>
          <w:szCs w:val="22"/>
        </w:rPr>
        <w:t xml:space="preserve">be also </w:t>
      </w:r>
      <w:r w:rsidR="00396FDA" w:rsidRPr="00396FDA">
        <w:rPr>
          <w:rFonts w:eastAsia="Calibri" w:cs="Times New Roman"/>
          <w:bCs/>
          <w:color w:val="4288C8"/>
          <w:sz w:val="22"/>
          <w:szCs w:val="22"/>
        </w:rPr>
        <w:t>emphas</w:t>
      </w:r>
      <w:r>
        <w:rPr>
          <w:rFonts w:eastAsia="Calibri" w:cs="Times New Roman"/>
          <w:bCs/>
          <w:color w:val="4288C8"/>
          <w:sz w:val="22"/>
          <w:szCs w:val="22"/>
        </w:rPr>
        <w:t>iz</w:t>
      </w:r>
      <w:r w:rsidR="00396FDA" w:rsidRPr="00396FDA">
        <w:rPr>
          <w:rFonts w:eastAsia="Calibri" w:cs="Times New Roman"/>
          <w:bCs/>
          <w:color w:val="4288C8"/>
          <w:sz w:val="22"/>
          <w:szCs w:val="22"/>
        </w:rPr>
        <w:t xml:space="preserve">ed </w:t>
      </w:r>
      <w:r>
        <w:rPr>
          <w:rFonts w:eastAsia="Calibri" w:cs="Times New Roman"/>
          <w:bCs/>
          <w:color w:val="4288C8"/>
          <w:sz w:val="22"/>
          <w:szCs w:val="22"/>
        </w:rPr>
        <w:t>between</w:t>
      </w:r>
      <w:r w:rsidR="00396FDA" w:rsidRPr="00396FDA">
        <w:rPr>
          <w:rFonts w:eastAsia="Calibri" w:cs="Times New Roman"/>
          <w:bCs/>
          <w:color w:val="4288C8"/>
          <w:sz w:val="22"/>
          <w:szCs w:val="22"/>
        </w:rPr>
        <w:t xml:space="preserve"> European players </w:t>
      </w:r>
      <w:r>
        <w:rPr>
          <w:rFonts w:eastAsia="Calibri" w:cs="Times New Roman"/>
          <w:bCs/>
          <w:color w:val="4288C8"/>
          <w:sz w:val="22"/>
          <w:szCs w:val="22"/>
        </w:rPr>
        <w:t xml:space="preserve">being </w:t>
      </w:r>
      <w:r w:rsidR="00396FDA" w:rsidRPr="00396FDA">
        <w:rPr>
          <w:rFonts w:eastAsia="Calibri" w:cs="Times New Roman"/>
          <w:bCs/>
          <w:color w:val="4288C8"/>
          <w:sz w:val="22"/>
          <w:szCs w:val="22"/>
        </w:rPr>
        <w:t xml:space="preserve">subject to prudent valuation </w:t>
      </w:r>
      <w:r>
        <w:rPr>
          <w:rFonts w:eastAsia="Calibri" w:cs="Times New Roman"/>
          <w:bCs/>
          <w:color w:val="4288C8"/>
          <w:sz w:val="22"/>
          <w:szCs w:val="22"/>
        </w:rPr>
        <w:t xml:space="preserve">on the one hand </w:t>
      </w:r>
      <w:r w:rsidR="00396FDA" w:rsidRPr="00396FDA">
        <w:rPr>
          <w:rFonts w:eastAsia="Calibri" w:cs="Times New Roman"/>
          <w:bCs/>
          <w:color w:val="4288C8"/>
          <w:sz w:val="22"/>
          <w:szCs w:val="22"/>
        </w:rPr>
        <w:t>and other players</w:t>
      </w:r>
      <w:r>
        <w:rPr>
          <w:rFonts w:eastAsia="Calibri" w:cs="Times New Roman"/>
          <w:bCs/>
          <w:color w:val="4288C8"/>
          <w:sz w:val="22"/>
          <w:szCs w:val="22"/>
        </w:rPr>
        <w:t xml:space="preserve"> on the other hand</w:t>
      </w:r>
      <w:r w:rsidR="00396FDA" w:rsidRPr="00396FDA">
        <w:rPr>
          <w:rFonts w:eastAsia="Calibri" w:cs="Times New Roman"/>
          <w:bCs/>
          <w:color w:val="4288C8"/>
          <w:sz w:val="22"/>
          <w:szCs w:val="22"/>
        </w:rPr>
        <w:t>.</w:t>
      </w:r>
    </w:p>
    <w:p w14:paraId="26656777" w14:textId="77777777" w:rsidR="00D119C8" w:rsidRDefault="00D119C8" w:rsidP="00396FDA">
      <w:pPr>
        <w:tabs>
          <w:tab w:val="left" w:pos="2127"/>
        </w:tabs>
        <w:spacing w:after="0"/>
        <w:outlineLvl w:val="0"/>
        <w:rPr>
          <w:rFonts w:eastAsia="Calibri" w:cs="Times New Roman"/>
          <w:bCs/>
          <w:color w:val="4288C8"/>
          <w:sz w:val="22"/>
          <w:szCs w:val="22"/>
        </w:rPr>
      </w:pPr>
    </w:p>
    <w:p w14:paraId="06AC330D" w14:textId="1439DA4A" w:rsidR="00B064DF" w:rsidRPr="00EF424B" w:rsidRDefault="00D119C8" w:rsidP="008B0E14">
      <w:pPr>
        <w:tabs>
          <w:tab w:val="left" w:pos="2127"/>
        </w:tabs>
        <w:spacing w:after="0"/>
        <w:outlineLvl w:val="0"/>
        <w:rPr>
          <w:rFonts w:eastAsia="Calibri" w:cs="Times New Roman"/>
          <w:bCs/>
          <w:color w:val="4288C8"/>
          <w:sz w:val="22"/>
          <w:szCs w:val="22"/>
        </w:rPr>
      </w:pPr>
      <w:r w:rsidRPr="00D119C8">
        <w:rPr>
          <w:rFonts w:eastAsia="Calibri" w:cs="Times New Roman"/>
          <w:bCs/>
          <w:color w:val="4288C8"/>
          <w:sz w:val="22"/>
          <w:szCs w:val="22"/>
        </w:rPr>
        <w:t>Regarding Article 7.3 (b)</w:t>
      </w:r>
      <w:r w:rsidR="009F4FD4">
        <w:rPr>
          <w:rFonts w:eastAsia="Calibri" w:cs="Times New Roman"/>
          <w:bCs/>
          <w:color w:val="4288C8"/>
          <w:sz w:val="22"/>
          <w:szCs w:val="22"/>
        </w:rPr>
        <w:t>, we kindly ask the EBA t</w:t>
      </w:r>
      <w:r w:rsidRPr="00D119C8">
        <w:rPr>
          <w:rFonts w:eastAsia="Calibri" w:cs="Times New Roman"/>
          <w:bCs/>
          <w:color w:val="4288C8"/>
          <w:sz w:val="22"/>
          <w:szCs w:val="22"/>
        </w:rPr>
        <w:t>o clarify th</w:t>
      </w:r>
      <w:r w:rsidR="009F4FD4">
        <w:rPr>
          <w:rFonts w:eastAsia="Calibri" w:cs="Times New Roman"/>
          <w:bCs/>
          <w:color w:val="4288C8"/>
          <w:sz w:val="22"/>
          <w:szCs w:val="22"/>
        </w:rPr>
        <w:t>is</w:t>
      </w:r>
      <w:r w:rsidRPr="00D119C8">
        <w:rPr>
          <w:rFonts w:eastAsia="Calibri" w:cs="Times New Roman"/>
          <w:bCs/>
          <w:color w:val="4288C8"/>
          <w:sz w:val="22"/>
          <w:szCs w:val="22"/>
        </w:rPr>
        <w:t xml:space="preserve"> sentence and ensure </w:t>
      </w:r>
      <w:r w:rsidR="009F4FD4">
        <w:rPr>
          <w:rFonts w:eastAsia="Calibri" w:cs="Times New Roman"/>
          <w:bCs/>
          <w:color w:val="4288C8"/>
          <w:sz w:val="22"/>
          <w:szCs w:val="22"/>
        </w:rPr>
        <w:t xml:space="preserve">that </w:t>
      </w:r>
      <w:r w:rsidRPr="00D119C8">
        <w:rPr>
          <w:rFonts w:eastAsia="Calibri" w:cs="Times New Roman"/>
          <w:bCs/>
          <w:color w:val="4288C8"/>
          <w:sz w:val="22"/>
          <w:szCs w:val="22"/>
        </w:rPr>
        <w:t xml:space="preserve">different types of IPV are allowed (e.g. embedded IPV, stand-alone/ add-on </w:t>
      </w:r>
      <w:r w:rsidRPr="00D119C8">
        <w:rPr>
          <w:rFonts w:eastAsia="Calibri" w:cs="Times New Roman"/>
          <w:bCs/>
          <w:color w:val="4288C8"/>
          <w:sz w:val="22"/>
          <w:szCs w:val="22"/>
        </w:rPr>
        <w:lastRenderedPageBreak/>
        <w:t>IPV, expert-based IPV)</w:t>
      </w:r>
      <w:r w:rsidR="009F4FD4">
        <w:rPr>
          <w:rFonts w:eastAsia="Calibri" w:cs="Times New Roman"/>
          <w:bCs/>
          <w:color w:val="4288C8"/>
          <w:sz w:val="22"/>
          <w:szCs w:val="22"/>
        </w:rPr>
        <w:t xml:space="preserve">, </w:t>
      </w:r>
      <w:r w:rsidRPr="00D119C8">
        <w:rPr>
          <w:rFonts w:eastAsia="Calibri" w:cs="Times New Roman"/>
          <w:bCs/>
          <w:color w:val="4288C8"/>
          <w:sz w:val="22"/>
          <w:szCs w:val="22"/>
        </w:rPr>
        <w:t xml:space="preserve">as well as IPV adjustments of 0, </w:t>
      </w:r>
      <w:r w:rsidR="009F4FD4">
        <w:rPr>
          <w:rFonts w:eastAsia="Calibri" w:cs="Times New Roman"/>
          <w:bCs/>
          <w:color w:val="4288C8"/>
          <w:sz w:val="22"/>
          <w:szCs w:val="22"/>
        </w:rPr>
        <w:t>by</w:t>
      </w:r>
      <w:r w:rsidRPr="00D119C8">
        <w:rPr>
          <w:rFonts w:eastAsia="Calibri" w:cs="Times New Roman"/>
          <w:bCs/>
          <w:color w:val="4288C8"/>
          <w:sz w:val="22"/>
          <w:szCs w:val="22"/>
        </w:rPr>
        <w:t xml:space="preserve"> reword</w:t>
      </w:r>
      <w:r w:rsidR="009F4FD4">
        <w:rPr>
          <w:rFonts w:eastAsia="Calibri" w:cs="Times New Roman"/>
          <w:bCs/>
          <w:color w:val="4288C8"/>
          <w:sz w:val="22"/>
          <w:szCs w:val="22"/>
        </w:rPr>
        <w:t>ing</w:t>
      </w:r>
      <w:r w:rsidRPr="00D119C8">
        <w:rPr>
          <w:rFonts w:eastAsia="Calibri" w:cs="Times New Roman"/>
          <w:bCs/>
          <w:color w:val="4288C8"/>
          <w:sz w:val="22"/>
          <w:szCs w:val="22"/>
        </w:rPr>
        <w:t xml:space="preserve"> this article into </w:t>
      </w:r>
      <w:r w:rsidR="009F4FD4">
        <w:rPr>
          <w:rFonts w:eastAsia="Calibri" w:cs="Times New Roman"/>
          <w:bCs/>
          <w:color w:val="4288C8"/>
          <w:sz w:val="22"/>
          <w:szCs w:val="22"/>
        </w:rPr>
        <w:t xml:space="preserve">the following: </w:t>
      </w:r>
      <w:r w:rsidRPr="00D119C8">
        <w:rPr>
          <w:rFonts w:eastAsia="Calibri" w:cs="Times New Roman"/>
          <w:bCs/>
          <w:color w:val="4288C8"/>
          <w:sz w:val="22"/>
          <w:szCs w:val="22"/>
        </w:rPr>
        <w:t>“</w:t>
      </w:r>
      <w:r w:rsidRPr="009F4FD4">
        <w:rPr>
          <w:rFonts w:eastAsia="Calibri" w:cs="Times New Roman"/>
          <w:bCs/>
          <w:i/>
          <w:iCs/>
          <w:color w:val="4288C8"/>
          <w:sz w:val="22"/>
          <w:szCs w:val="22"/>
        </w:rPr>
        <w:t>Valuation positions for which institutions are not able to estimate and record an adjustment for any types of independent price verification in their accounting, due to the fact that independent pricing sources are not available or pricing sources are more subjective</w:t>
      </w:r>
      <w:r w:rsidRPr="00D119C8">
        <w:rPr>
          <w:rFonts w:eastAsia="Calibri" w:cs="Times New Roman"/>
          <w:bCs/>
          <w:color w:val="4288C8"/>
          <w:sz w:val="22"/>
          <w:szCs w:val="22"/>
          <w:lang w:val="en-US"/>
        </w:rPr>
        <w:t>.</w:t>
      </w:r>
      <w:r w:rsidRPr="00D119C8">
        <w:rPr>
          <w:rFonts w:eastAsia="Calibri" w:cs="Times New Roman"/>
          <w:bCs/>
          <w:color w:val="4288C8"/>
          <w:sz w:val="22"/>
          <w:szCs w:val="22"/>
        </w:rPr>
        <w:t>”</w:t>
      </w:r>
    </w:p>
    <w:p w14:paraId="0ABA2E9D" w14:textId="77777777" w:rsidR="00B064DF" w:rsidRDefault="00B064DF" w:rsidP="008B0E14">
      <w:pPr>
        <w:tabs>
          <w:tab w:val="left" w:pos="2127"/>
        </w:tabs>
        <w:spacing w:after="0"/>
        <w:outlineLvl w:val="0"/>
        <w:rPr>
          <w:rFonts w:eastAsia="Calibri" w:cs="Times New Roman"/>
          <w:bCs/>
          <w:color w:val="4288C8"/>
          <w:szCs w:val="20"/>
        </w:rPr>
      </w:pPr>
    </w:p>
    <w:p w14:paraId="2613AAC7" w14:textId="427E07CB" w:rsidR="00976DE8" w:rsidRPr="00976DE8" w:rsidRDefault="00976DE8" w:rsidP="00976DE8">
      <w:pPr>
        <w:tabs>
          <w:tab w:val="left" w:pos="2127"/>
        </w:tabs>
        <w:spacing w:after="0"/>
        <w:outlineLvl w:val="0"/>
        <w:rPr>
          <w:rFonts w:eastAsia="Calibri" w:cs="Times New Roman"/>
          <w:b/>
          <w:color w:val="4288C8"/>
          <w:szCs w:val="20"/>
        </w:rPr>
      </w:pPr>
      <w:r w:rsidRPr="00976DE8">
        <w:rPr>
          <w:rFonts w:eastAsia="Calibri" w:cs="Times New Roman"/>
          <w:b/>
          <w:color w:val="4288C8"/>
          <w:szCs w:val="20"/>
        </w:rPr>
        <w:t>Question 7. General requirements under core approach - Article 8</w:t>
      </w:r>
    </w:p>
    <w:p w14:paraId="5B8B52C8" w14:textId="77777777" w:rsidR="00976DE8" w:rsidRPr="00976DE8" w:rsidRDefault="00976DE8" w:rsidP="00976DE8">
      <w:pPr>
        <w:tabs>
          <w:tab w:val="left" w:pos="2127"/>
        </w:tabs>
        <w:spacing w:after="0"/>
        <w:outlineLvl w:val="0"/>
        <w:rPr>
          <w:rFonts w:eastAsia="Calibri" w:cs="Times New Roman"/>
          <w:bCs/>
          <w:color w:val="4288C8"/>
          <w:szCs w:val="20"/>
        </w:rPr>
      </w:pPr>
    </w:p>
    <w:p w14:paraId="0AF3AF3B" w14:textId="77777777" w:rsidR="00976DE8" w:rsidRPr="00976DE8" w:rsidRDefault="00976DE8" w:rsidP="00976DE8">
      <w:pPr>
        <w:tabs>
          <w:tab w:val="left" w:pos="2127"/>
        </w:tabs>
        <w:spacing w:after="0"/>
        <w:outlineLvl w:val="0"/>
        <w:rPr>
          <w:rFonts w:eastAsia="Calibri" w:cs="Times New Roman"/>
          <w:bCs/>
          <w:i/>
          <w:iCs/>
          <w:color w:val="4288C8"/>
          <w:szCs w:val="20"/>
        </w:rPr>
      </w:pPr>
      <w:r w:rsidRPr="00976DE8">
        <w:rPr>
          <w:rFonts w:eastAsia="Calibri" w:cs="Times New Roman"/>
          <w:bCs/>
          <w:i/>
          <w:iCs/>
          <w:color w:val="4288C8"/>
          <w:szCs w:val="20"/>
        </w:rPr>
        <w:t>Are the requirements included in Article 8 clear? If you consider them to be not clear or to be particularly challenging to meet in specific circumstances, please describe the issue you encounter and how you would address it in order to meet the intended policy objectives and provide the rationale and any evidence supporting your proposal.</w:t>
      </w:r>
    </w:p>
    <w:p w14:paraId="4196257A" w14:textId="77777777" w:rsidR="00976DE8" w:rsidRPr="00976DE8" w:rsidRDefault="00976DE8" w:rsidP="00976DE8">
      <w:pPr>
        <w:tabs>
          <w:tab w:val="left" w:pos="2127"/>
        </w:tabs>
        <w:spacing w:after="0"/>
        <w:outlineLvl w:val="0"/>
        <w:rPr>
          <w:rFonts w:eastAsia="Calibri" w:cs="Times New Roman"/>
          <w:bCs/>
          <w:color w:val="4288C8"/>
          <w:szCs w:val="20"/>
        </w:rPr>
      </w:pPr>
    </w:p>
    <w:p w14:paraId="23738555" w14:textId="77777777" w:rsidR="007C453E" w:rsidRDefault="004B20A5" w:rsidP="004B20A5">
      <w:pPr>
        <w:tabs>
          <w:tab w:val="left" w:pos="2127"/>
        </w:tabs>
        <w:spacing w:after="0"/>
        <w:outlineLvl w:val="0"/>
        <w:rPr>
          <w:rFonts w:eastAsia="Calibri" w:cs="Times New Roman"/>
          <w:bCs/>
          <w:color w:val="4288C8"/>
          <w:sz w:val="22"/>
          <w:szCs w:val="22"/>
        </w:rPr>
      </w:pPr>
      <w:r w:rsidRPr="004B20A5">
        <w:rPr>
          <w:rFonts w:eastAsia="Calibri" w:cs="Times New Roman"/>
          <w:bCs/>
          <w:color w:val="4288C8"/>
          <w:sz w:val="22"/>
          <w:szCs w:val="22"/>
        </w:rPr>
        <w:t xml:space="preserve">A major existing shortcoming of the core approach is the partial double counting of risks with respect to Day One Profit Deferrals under IFRS. </w:t>
      </w:r>
      <w:r w:rsidR="007C453E">
        <w:rPr>
          <w:rFonts w:eastAsia="Calibri" w:cs="Times New Roman"/>
          <w:bCs/>
          <w:color w:val="4288C8"/>
          <w:sz w:val="22"/>
          <w:szCs w:val="22"/>
        </w:rPr>
        <w:t>Indeed, a</w:t>
      </w:r>
      <w:r w:rsidR="007C453E" w:rsidRPr="007C453E">
        <w:rPr>
          <w:rFonts w:eastAsia="Calibri" w:cs="Times New Roman"/>
          <w:bCs/>
          <w:color w:val="4288C8"/>
          <w:sz w:val="22"/>
          <w:szCs w:val="22"/>
        </w:rPr>
        <w:t xml:space="preserve">rticle 8 still does not address the issue of offset between Day One Profit </w:t>
      </w:r>
      <w:r w:rsidR="007C453E">
        <w:rPr>
          <w:rFonts w:eastAsia="Calibri" w:cs="Times New Roman"/>
          <w:bCs/>
          <w:color w:val="4288C8"/>
          <w:sz w:val="22"/>
          <w:szCs w:val="22"/>
        </w:rPr>
        <w:t>D</w:t>
      </w:r>
      <w:r w:rsidR="007C453E" w:rsidRPr="007C453E">
        <w:rPr>
          <w:rFonts w:eastAsia="Calibri" w:cs="Times New Roman"/>
          <w:bCs/>
          <w:color w:val="4288C8"/>
          <w:sz w:val="22"/>
          <w:szCs w:val="22"/>
        </w:rPr>
        <w:t>eferral (DOPD) and AVA. We understand that the offset prohibition stated by Q&amp;A 2019_4458 still stands but this is not justified given that DOPD and AVA can account for the same uncertainty due to unobservable valuation inputs</w:t>
      </w:r>
      <w:r w:rsidR="007C453E">
        <w:rPr>
          <w:rFonts w:eastAsia="Calibri" w:cs="Times New Roman"/>
          <w:bCs/>
          <w:color w:val="4288C8"/>
          <w:sz w:val="22"/>
          <w:szCs w:val="22"/>
        </w:rPr>
        <w:t>.</w:t>
      </w:r>
    </w:p>
    <w:p w14:paraId="28E856B1" w14:textId="77777777" w:rsidR="00DE4320" w:rsidRDefault="00DE4320" w:rsidP="004B20A5">
      <w:pPr>
        <w:tabs>
          <w:tab w:val="left" w:pos="2127"/>
        </w:tabs>
        <w:spacing w:after="0"/>
        <w:outlineLvl w:val="0"/>
        <w:rPr>
          <w:rFonts w:eastAsia="Calibri" w:cs="Times New Roman"/>
          <w:bCs/>
          <w:color w:val="4288C8"/>
          <w:sz w:val="22"/>
          <w:szCs w:val="22"/>
        </w:rPr>
      </w:pPr>
    </w:p>
    <w:p w14:paraId="25F2EDB9" w14:textId="3F81A801" w:rsidR="004B20A5" w:rsidRDefault="004B20A5" w:rsidP="004B20A5">
      <w:pPr>
        <w:tabs>
          <w:tab w:val="left" w:pos="2127"/>
        </w:tabs>
        <w:spacing w:after="0"/>
        <w:outlineLvl w:val="0"/>
        <w:rPr>
          <w:rFonts w:eastAsia="Calibri" w:cs="Times New Roman"/>
          <w:bCs/>
          <w:color w:val="4288C8"/>
          <w:sz w:val="22"/>
          <w:szCs w:val="22"/>
        </w:rPr>
      </w:pPr>
      <w:r>
        <w:rPr>
          <w:rFonts w:eastAsia="Calibri" w:cs="Times New Roman"/>
          <w:bCs/>
          <w:color w:val="4288C8"/>
          <w:sz w:val="22"/>
          <w:szCs w:val="22"/>
        </w:rPr>
        <w:t>For this reason, w</w:t>
      </w:r>
      <w:r w:rsidRPr="004B20A5">
        <w:rPr>
          <w:rFonts w:eastAsia="Calibri" w:cs="Times New Roman"/>
          <w:bCs/>
          <w:color w:val="4288C8"/>
          <w:sz w:val="22"/>
          <w:szCs w:val="22"/>
        </w:rPr>
        <w:t>e urge the EBA to rectify this issue by allowing a partial offset subject to the following safeguards:</w:t>
      </w:r>
    </w:p>
    <w:p w14:paraId="49F0F016" w14:textId="3C308438" w:rsidR="004B20A5" w:rsidRDefault="004B20A5" w:rsidP="004B20A5">
      <w:pPr>
        <w:tabs>
          <w:tab w:val="left" w:pos="2127"/>
        </w:tabs>
        <w:spacing w:after="0"/>
        <w:outlineLvl w:val="0"/>
        <w:rPr>
          <w:rFonts w:eastAsia="Calibri" w:cs="Times New Roman"/>
          <w:bCs/>
          <w:color w:val="4288C8"/>
          <w:sz w:val="22"/>
          <w:szCs w:val="22"/>
        </w:rPr>
      </w:pPr>
      <w:r>
        <w:rPr>
          <w:rFonts w:eastAsia="Calibri" w:cs="Times New Roman"/>
          <w:bCs/>
          <w:color w:val="4288C8"/>
          <w:sz w:val="22"/>
          <w:szCs w:val="22"/>
        </w:rPr>
        <w:t xml:space="preserve">- </w:t>
      </w:r>
      <w:r w:rsidRPr="004B20A5">
        <w:rPr>
          <w:rFonts w:eastAsia="Calibri" w:cs="Times New Roman"/>
          <w:bCs/>
          <w:color w:val="4288C8"/>
          <w:sz w:val="22"/>
          <w:szCs w:val="22"/>
        </w:rPr>
        <w:t>Banks need to map the deferred Day One Profit reserves directly to the corresponding AVA for the respective valuation uncertainty drivers</w:t>
      </w:r>
      <w:r w:rsidR="00DE4320">
        <w:rPr>
          <w:rFonts w:eastAsia="Calibri" w:cs="Times New Roman"/>
          <w:bCs/>
          <w:color w:val="4288C8"/>
          <w:sz w:val="22"/>
          <w:szCs w:val="22"/>
        </w:rPr>
        <w:t xml:space="preserve"> ;</w:t>
      </w:r>
    </w:p>
    <w:p w14:paraId="1BF75F7D" w14:textId="4E1E9F29" w:rsidR="004B20A5" w:rsidRPr="004B20A5" w:rsidRDefault="004B20A5" w:rsidP="004B20A5">
      <w:pPr>
        <w:tabs>
          <w:tab w:val="left" w:pos="2127"/>
        </w:tabs>
        <w:spacing w:after="0"/>
        <w:outlineLvl w:val="0"/>
        <w:rPr>
          <w:rFonts w:eastAsia="Calibri" w:cs="Times New Roman"/>
          <w:bCs/>
          <w:color w:val="4288C8"/>
          <w:sz w:val="22"/>
          <w:szCs w:val="22"/>
        </w:rPr>
      </w:pPr>
      <w:r>
        <w:rPr>
          <w:rFonts w:eastAsia="Calibri" w:cs="Times New Roman"/>
          <w:bCs/>
          <w:color w:val="4288C8"/>
          <w:sz w:val="22"/>
          <w:szCs w:val="22"/>
        </w:rPr>
        <w:t xml:space="preserve">-  </w:t>
      </w:r>
      <w:r w:rsidRPr="004B20A5">
        <w:rPr>
          <w:rFonts w:eastAsia="Calibri" w:cs="Times New Roman"/>
          <w:bCs/>
          <w:color w:val="4288C8"/>
          <w:sz w:val="22"/>
          <w:szCs w:val="22"/>
        </w:rPr>
        <w:t>The amount that can be offset is generally capped at the AVA</w:t>
      </w:r>
      <w:r w:rsidR="00DE4320">
        <w:rPr>
          <w:rFonts w:eastAsia="Calibri" w:cs="Times New Roman"/>
          <w:bCs/>
          <w:color w:val="4288C8"/>
          <w:sz w:val="22"/>
          <w:szCs w:val="22"/>
        </w:rPr>
        <w:t>.</w:t>
      </w:r>
    </w:p>
    <w:p w14:paraId="70BB4B18" w14:textId="77777777" w:rsidR="004B20A5" w:rsidRDefault="004B20A5" w:rsidP="004B20A5">
      <w:pPr>
        <w:tabs>
          <w:tab w:val="left" w:pos="2127"/>
        </w:tabs>
        <w:spacing w:after="0"/>
        <w:outlineLvl w:val="0"/>
        <w:rPr>
          <w:rFonts w:eastAsia="Calibri" w:cs="Times New Roman"/>
          <w:bCs/>
          <w:color w:val="4288C8"/>
          <w:sz w:val="22"/>
          <w:szCs w:val="22"/>
        </w:rPr>
      </w:pPr>
    </w:p>
    <w:p w14:paraId="38289841" w14:textId="07CCD24C" w:rsidR="00976DE8" w:rsidRPr="00976DE8" w:rsidRDefault="00764D80" w:rsidP="004B20A5">
      <w:pPr>
        <w:tabs>
          <w:tab w:val="left" w:pos="2127"/>
        </w:tabs>
        <w:spacing w:after="0"/>
        <w:outlineLvl w:val="0"/>
        <w:rPr>
          <w:rFonts w:eastAsia="Calibri" w:cs="Times New Roman"/>
          <w:bCs/>
          <w:color w:val="4288C8"/>
          <w:sz w:val="22"/>
          <w:szCs w:val="22"/>
        </w:rPr>
      </w:pPr>
      <w:r>
        <w:rPr>
          <w:rFonts w:eastAsia="Calibri" w:cs="Times New Roman"/>
          <w:bCs/>
          <w:color w:val="4288C8"/>
          <w:sz w:val="22"/>
          <w:szCs w:val="22"/>
        </w:rPr>
        <w:t>For this purpose, t</w:t>
      </w:r>
      <w:r w:rsidR="00976DE8" w:rsidRPr="00976DE8">
        <w:rPr>
          <w:rFonts w:eastAsia="Calibri" w:cs="Times New Roman"/>
          <w:bCs/>
          <w:color w:val="4288C8"/>
          <w:sz w:val="22"/>
          <w:szCs w:val="22"/>
        </w:rPr>
        <w:t>he words “Fair value” should be replaced by “accounting value” in lines 2 and 5 of paragraph 3, to avoid a double counting in the way the CET1 is computed.</w:t>
      </w:r>
      <w:r w:rsidR="00065930">
        <w:rPr>
          <w:rFonts w:eastAsia="Calibri" w:cs="Times New Roman"/>
          <w:bCs/>
          <w:color w:val="4288C8"/>
          <w:sz w:val="22"/>
          <w:szCs w:val="22"/>
        </w:rPr>
        <w:t xml:space="preserve"> You will find in Appendix a proposed methodology by European banks</w:t>
      </w:r>
      <w:r w:rsidR="00D04BF2">
        <w:rPr>
          <w:rFonts w:eastAsia="Calibri" w:cs="Times New Roman"/>
          <w:bCs/>
          <w:color w:val="4288C8"/>
          <w:sz w:val="22"/>
          <w:szCs w:val="22"/>
        </w:rPr>
        <w:t xml:space="preserve"> to offset accounting adjustment from deferred Day One Profit </w:t>
      </w:r>
      <w:r w:rsidR="00F21475">
        <w:rPr>
          <w:rFonts w:eastAsia="Calibri" w:cs="Times New Roman"/>
          <w:bCs/>
          <w:color w:val="4288C8"/>
          <w:sz w:val="22"/>
          <w:szCs w:val="22"/>
        </w:rPr>
        <w:t>to AVA.</w:t>
      </w:r>
    </w:p>
    <w:p w14:paraId="0865D4C7" w14:textId="77777777" w:rsidR="00976DE8" w:rsidRPr="00976DE8" w:rsidRDefault="00976DE8" w:rsidP="00976DE8">
      <w:pPr>
        <w:tabs>
          <w:tab w:val="left" w:pos="2127"/>
        </w:tabs>
        <w:spacing w:after="0"/>
        <w:outlineLvl w:val="0"/>
        <w:rPr>
          <w:rFonts w:eastAsia="Calibri" w:cs="Times New Roman"/>
          <w:bCs/>
          <w:color w:val="4288C8"/>
          <w:sz w:val="22"/>
          <w:szCs w:val="22"/>
        </w:rPr>
      </w:pPr>
    </w:p>
    <w:p w14:paraId="45A07DA1" w14:textId="57AC5E63" w:rsidR="00976DE8" w:rsidRPr="00976DE8" w:rsidRDefault="00F21475" w:rsidP="00976DE8">
      <w:pPr>
        <w:tabs>
          <w:tab w:val="left" w:pos="2127"/>
        </w:tabs>
        <w:spacing w:after="0"/>
        <w:outlineLvl w:val="0"/>
        <w:rPr>
          <w:rFonts w:eastAsia="Calibri" w:cs="Times New Roman"/>
          <w:bCs/>
          <w:color w:val="4288C8"/>
          <w:sz w:val="22"/>
          <w:szCs w:val="22"/>
        </w:rPr>
      </w:pPr>
      <w:r>
        <w:rPr>
          <w:rFonts w:eastAsia="Calibri" w:cs="Times New Roman"/>
          <w:bCs/>
          <w:color w:val="4288C8"/>
          <w:sz w:val="22"/>
          <w:szCs w:val="22"/>
        </w:rPr>
        <w:t>Besides, t</w:t>
      </w:r>
      <w:r w:rsidR="00976DE8" w:rsidRPr="00976DE8">
        <w:rPr>
          <w:rFonts w:eastAsia="Calibri" w:cs="Times New Roman"/>
          <w:bCs/>
          <w:color w:val="4288C8"/>
          <w:sz w:val="22"/>
          <w:szCs w:val="22"/>
        </w:rPr>
        <w:t xml:space="preserve">he end of paragraph 3 is meant to impose a </w:t>
      </w:r>
      <w:r w:rsidR="00976DE8" w:rsidRPr="00EA6837">
        <w:rPr>
          <w:rFonts w:eastAsia="Calibri" w:cs="Times New Roman"/>
          <w:bCs/>
          <w:strike/>
          <w:color w:val="4288C8"/>
          <w:sz w:val="22"/>
          <w:szCs w:val="22"/>
        </w:rPr>
        <w:t>floor</w:t>
      </w:r>
      <w:r w:rsidR="00976DE8" w:rsidRPr="00976DE8">
        <w:rPr>
          <w:rFonts w:eastAsia="Calibri" w:cs="Times New Roman"/>
          <w:bCs/>
          <w:color w:val="4288C8"/>
          <w:sz w:val="22"/>
          <w:szCs w:val="22"/>
        </w:rPr>
        <w:t xml:space="preserve"> </w:t>
      </w:r>
      <w:r>
        <w:rPr>
          <w:rFonts w:eastAsia="Calibri" w:cs="Times New Roman"/>
          <w:bCs/>
          <w:color w:val="4288C8"/>
          <w:sz w:val="22"/>
          <w:szCs w:val="22"/>
        </w:rPr>
        <w:t>cap</w:t>
      </w:r>
      <w:r w:rsidR="00D21212">
        <w:rPr>
          <w:rFonts w:eastAsia="Calibri" w:cs="Times New Roman"/>
          <w:bCs/>
          <w:color w:val="4288C8"/>
          <w:sz w:val="22"/>
          <w:szCs w:val="22"/>
        </w:rPr>
        <w:t xml:space="preserve"> </w:t>
      </w:r>
      <w:r w:rsidR="00976DE8" w:rsidRPr="00976DE8">
        <w:rPr>
          <w:rFonts w:eastAsia="Calibri" w:cs="Times New Roman"/>
          <w:bCs/>
          <w:color w:val="4288C8"/>
          <w:sz w:val="22"/>
          <w:szCs w:val="22"/>
        </w:rPr>
        <w:t xml:space="preserve">on the use of accounting adjustments that can be offset with AVA so that the same adjustments is not offset several times. This requirement is expressed in a complex and unclear way. Indeed, banks would need more precision and ideally an example or </w:t>
      </w:r>
      <w:r w:rsidR="004B20A5">
        <w:rPr>
          <w:rFonts w:eastAsia="Calibri" w:cs="Times New Roman"/>
          <w:bCs/>
          <w:color w:val="4288C8"/>
          <w:sz w:val="22"/>
          <w:szCs w:val="22"/>
        </w:rPr>
        <w:t xml:space="preserve">to be </w:t>
      </w:r>
      <w:r w:rsidR="00976DE8" w:rsidRPr="00976DE8">
        <w:rPr>
          <w:rFonts w:eastAsia="Calibri" w:cs="Times New Roman"/>
          <w:bCs/>
          <w:color w:val="4288C8"/>
          <w:sz w:val="22"/>
          <w:szCs w:val="22"/>
        </w:rPr>
        <w:t>explicitly written in the Annex.</w:t>
      </w:r>
    </w:p>
    <w:p w14:paraId="39007131" w14:textId="77777777" w:rsidR="00976DE8" w:rsidRPr="00976DE8" w:rsidRDefault="00976DE8" w:rsidP="00976DE8">
      <w:pPr>
        <w:tabs>
          <w:tab w:val="left" w:pos="2127"/>
        </w:tabs>
        <w:spacing w:after="0"/>
        <w:outlineLvl w:val="0"/>
        <w:rPr>
          <w:rFonts w:eastAsia="Calibri" w:cs="Times New Roman"/>
          <w:bCs/>
          <w:color w:val="4288C8"/>
          <w:sz w:val="22"/>
          <w:szCs w:val="22"/>
        </w:rPr>
      </w:pPr>
    </w:p>
    <w:p w14:paraId="61032743" w14:textId="77777777" w:rsidR="00976DE8" w:rsidRPr="00976DE8" w:rsidRDefault="00976DE8" w:rsidP="00976DE8">
      <w:pPr>
        <w:tabs>
          <w:tab w:val="left" w:pos="2127"/>
        </w:tabs>
        <w:spacing w:after="0"/>
        <w:outlineLvl w:val="0"/>
        <w:rPr>
          <w:rFonts w:eastAsia="Calibri" w:cs="Times New Roman"/>
          <w:bCs/>
          <w:color w:val="4288C8"/>
          <w:sz w:val="22"/>
          <w:szCs w:val="22"/>
        </w:rPr>
      </w:pPr>
      <w:r w:rsidRPr="00976DE8">
        <w:rPr>
          <w:rFonts w:eastAsia="Calibri" w:cs="Times New Roman"/>
          <w:bCs/>
          <w:color w:val="4288C8"/>
          <w:sz w:val="22"/>
          <w:szCs w:val="22"/>
        </w:rPr>
        <w:t>Section 8 also states that “In addition, considering that accounting fair value adjustments are often determined at portfolio level, while AVAs are determined at the level of a valuation position, it should be ensured that institutions do not use one and the same accounting fair value adjustment to reduce more than one individual AVA. Therefore, this Regulation should specify a cap for the amount of accounting fair value adjustments that institutions can actually use to reduce AVAs” and is equally confusing.</w:t>
      </w:r>
    </w:p>
    <w:p w14:paraId="51061399" w14:textId="77777777" w:rsidR="00976DE8" w:rsidRPr="00976DE8" w:rsidRDefault="00976DE8" w:rsidP="00976DE8">
      <w:pPr>
        <w:tabs>
          <w:tab w:val="left" w:pos="2127"/>
        </w:tabs>
        <w:spacing w:after="0"/>
        <w:outlineLvl w:val="0"/>
        <w:rPr>
          <w:rFonts w:eastAsia="Calibri" w:cs="Times New Roman"/>
          <w:bCs/>
          <w:color w:val="4288C8"/>
          <w:sz w:val="22"/>
          <w:szCs w:val="22"/>
        </w:rPr>
      </w:pPr>
    </w:p>
    <w:p w14:paraId="712AC1C0" w14:textId="77777777" w:rsidR="00976DE8" w:rsidRPr="00976DE8" w:rsidRDefault="00976DE8" w:rsidP="00976DE8">
      <w:pPr>
        <w:tabs>
          <w:tab w:val="left" w:pos="2127"/>
        </w:tabs>
        <w:spacing w:after="0"/>
        <w:outlineLvl w:val="0"/>
        <w:rPr>
          <w:rFonts w:eastAsia="Calibri" w:cs="Times New Roman"/>
          <w:bCs/>
          <w:color w:val="4288C8"/>
          <w:sz w:val="22"/>
          <w:szCs w:val="22"/>
        </w:rPr>
      </w:pPr>
      <w:r w:rsidRPr="00976DE8">
        <w:rPr>
          <w:rFonts w:eastAsia="Calibri" w:cs="Times New Roman"/>
          <w:bCs/>
          <w:color w:val="4288C8"/>
          <w:sz w:val="22"/>
          <w:szCs w:val="22"/>
        </w:rPr>
        <w:t>Likewise, in paragraph 6 banks are wondering whether this includes model pricing used for accounting valuation. Clarification would be welcome.</w:t>
      </w:r>
    </w:p>
    <w:p w14:paraId="1057D58B" w14:textId="77777777" w:rsidR="00976DE8" w:rsidRPr="00976DE8" w:rsidRDefault="00976DE8" w:rsidP="00976DE8">
      <w:pPr>
        <w:tabs>
          <w:tab w:val="left" w:pos="2127"/>
        </w:tabs>
        <w:spacing w:after="0"/>
        <w:outlineLvl w:val="0"/>
        <w:rPr>
          <w:rFonts w:eastAsia="Calibri" w:cs="Times New Roman"/>
          <w:bCs/>
          <w:color w:val="4288C8"/>
          <w:sz w:val="22"/>
          <w:szCs w:val="22"/>
        </w:rPr>
      </w:pPr>
    </w:p>
    <w:p w14:paraId="14A7F377" w14:textId="405D939F" w:rsidR="00976DE8" w:rsidRPr="00976DE8" w:rsidRDefault="00976DE8" w:rsidP="00976DE8">
      <w:pPr>
        <w:tabs>
          <w:tab w:val="left" w:pos="2127"/>
        </w:tabs>
        <w:spacing w:after="0"/>
        <w:outlineLvl w:val="0"/>
        <w:rPr>
          <w:rFonts w:eastAsia="Calibri" w:cs="Times New Roman"/>
          <w:bCs/>
          <w:color w:val="4288C8"/>
          <w:sz w:val="22"/>
          <w:szCs w:val="22"/>
        </w:rPr>
      </w:pPr>
      <w:r w:rsidRPr="00976DE8">
        <w:rPr>
          <w:rFonts w:eastAsia="Calibri" w:cs="Times New Roman"/>
          <w:bCs/>
          <w:color w:val="4288C8"/>
          <w:sz w:val="22"/>
          <w:szCs w:val="22"/>
        </w:rPr>
        <w:t>Paragraph 7 does not have its place in this article. It is a justification requirement</w:t>
      </w:r>
      <w:r w:rsidR="00684E71">
        <w:rPr>
          <w:rFonts w:eastAsia="Calibri" w:cs="Times New Roman"/>
          <w:bCs/>
          <w:color w:val="4288C8"/>
          <w:sz w:val="22"/>
          <w:szCs w:val="22"/>
        </w:rPr>
        <w:t>,</w:t>
      </w:r>
      <w:r w:rsidRPr="00976DE8">
        <w:rPr>
          <w:rFonts w:eastAsia="Calibri" w:cs="Times New Roman"/>
          <w:bCs/>
          <w:color w:val="4288C8"/>
          <w:sz w:val="22"/>
          <w:szCs w:val="22"/>
        </w:rPr>
        <w:t xml:space="preserve"> specific to methodologies detailed in article 9 and 10 (sensitivity-based adjustments)</w:t>
      </w:r>
      <w:r w:rsidR="00A160AE">
        <w:rPr>
          <w:rFonts w:eastAsia="Calibri" w:cs="Times New Roman"/>
          <w:bCs/>
          <w:color w:val="4288C8"/>
          <w:sz w:val="22"/>
          <w:szCs w:val="22"/>
        </w:rPr>
        <w:t>,</w:t>
      </w:r>
      <w:r w:rsidRPr="00976DE8">
        <w:rPr>
          <w:rFonts w:eastAsia="Calibri" w:cs="Times New Roman"/>
          <w:bCs/>
          <w:color w:val="4288C8"/>
          <w:sz w:val="22"/>
          <w:szCs w:val="22"/>
        </w:rPr>
        <w:t xml:space="preserve"> that should better be stated in these articles themselves where the methodology is described.</w:t>
      </w:r>
    </w:p>
    <w:p w14:paraId="0A33D807" w14:textId="77777777" w:rsidR="00976DE8" w:rsidRPr="00976DE8" w:rsidRDefault="00976DE8" w:rsidP="00976DE8">
      <w:pPr>
        <w:tabs>
          <w:tab w:val="left" w:pos="2127"/>
        </w:tabs>
        <w:spacing w:after="0"/>
        <w:outlineLvl w:val="0"/>
        <w:rPr>
          <w:rFonts w:eastAsia="Calibri" w:cs="Times New Roman"/>
          <w:bCs/>
          <w:color w:val="4288C8"/>
          <w:sz w:val="22"/>
          <w:szCs w:val="22"/>
        </w:rPr>
      </w:pPr>
    </w:p>
    <w:p w14:paraId="0990E8B2" w14:textId="684D42B6" w:rsidR="00B064DF" w:rsidRPr="00976DE8" w:rsidRDefault="00976DE8" w:rsidP="00976DE8">
      <w:pPr>
        <w:tabs>
          <w:tab w:val="left" w:pos="2127"/>
        </w:tabs>
        <w:spacing w:after="0"/>
        <w:outlineLvl w:val="0"/>
        <w:rPr>
          <w:rFonts w:eastAsia="Calibri" w:cs="Times New Roman"/>
          <w:bCs/>
          <w:color w:val="4288C8"/>
          <w:sz w:val="22"/>
          <w:szCs w:val="22"/>
        </w:rPr>
      </w:pPr>
      <w:r w:rsidRPr="00976DE8">
        <w:rPr>
          <w:rFonts w:eastAsia="Calibri" w:cs="Times New Roman"/>
          <w:bCs/>
          <w:color w:val="4288C8"/>
          <w:sz w:val="22"/>
          <w:szCs w:val="22"/>
        </w:rPr>
        <w:t xml:space="preserve">In addition, this exercise is burdensome and the additional charge is disproportionate compared </w:t>
      </w:r>
      <w:r w:rsidR="00F60BC0">
        <w:rPr>
          <w:rFonts w:eastAsia="Calibri" w:cs="Times New Roman"/>
          <w:bCs/>
          <w:color w:val="4288C8"/>
          <w:sz w:val="22"/>
          <w:szCs w:val="22"/>
        </w:rPr>
        <w:t>to</w:t>
      </w:r>
      <w:r w:rsidR="00F60BC0" w:rsidRPr="00976DE8">
        <w:rPr>
          <w:rFonts w:eastAsia="Calibri" w:cs="Times New Roman"/>
          <w:bCs/>
          <w:color w:val="4288C8"/>
          <w:sz w:val="22"/>
          <w:szCs w:val="22"/>
        </w:rPr>
        <w:t xml:space="preserve"> </w:t>
      </w:r>
      <w:r w:rsidRPr="00976DE8">
        <w:rPr>
          <w:rFonts w:eastAsia="Calibri" w:cs="Times New Roman"/>
          <w:bCs/>
          <w:color w:val="4288C8"/>
          <w:sz w:val="22"/>
          <w:szCs w:val="22"/>
        </w:rPr>
        <w:t>the materiality of this additional requirement. The transversal ECB on-site missions issued recommendation to justify the utilization first order sensitivities and this exercise has allowed justifying the utilization of first order sensitivities.</w:t>
      </w:r>
    </w:p>
    <w:p w14:paraId="018C7C37" w14:textId="29349393" w:rsidR="004B20A5" w:rsidRPr="004B20A5" w:rsidRDefault="00230B2E" w:rsidP="004B20A5">
      <w:pPr>
        <w:tabs>
          <w:tab w:val="left" w:pos="2127"/>
        </w:tabs>
        <w:spacing w:before="120"/>
        <w:outlineLvl w:val="0"/>
        <w:rPr>
          <w:rFonts w:eastAsia="Calibri" w:cs="Times New Roman"/>
          <w:bCs/>
          <w:color w:val="4288C8"/>
          <w:sz w:val="22"/>
          <w:szCs w:val="22"/>
        </w:rPr>
      </w:pPr>
      <w:r>
        <w:rPr>
          <w:rFonts w:eastAsia="Calibri" w:cs="Times New Roman"/>
          <w:bCs/>
          <w:color w:val="4288C8"/>
          <w:sz w:val="22"/>
          <w:szCs w:val="22"/>
        </w:rPr>
        <w:t>In particular, r</w:t>
      </w:r>
      <w:r w:rsidRPr="00230B2E">
        <w:rPr>
          <w:rFonts w:eastAsia="Calibri" w:cs="Times New Roman"/>
          <w:bCs/>
          <w:color w:val="4288C8"/>
          <w:sz w:val="22"/>
          <w:szCs w:val="22"/>
        </w:rPr>
        <w:t>egarding Article 8.5</w:t>
      </w:r>
      <w:r>
        <w:rPr>
          <w:rFonts w:eastAsia="Calibri" w:cs="Times New Roman"/>
          <w:bCs/>
          <w:color w:val="4288C8"/>
          <w:sz w:val="22"/>
          <w:szCs w:val="22"/>
        </w:rPr>
        <w:t xml:space="preserve"> </w:t>
      </w:r>
      <w:r w:rsidRPr="00230B2E">
        <w:rPr>
          <w:rFonts w:eastAsia="Calibri" w:cs="Times New Roman"/>
          <w:bCs/>
          <w:color w:val="4288C8"/>
          <w:sz w:val="22"/>
          <w:szCs w:val="22"/>
        </w:rPr>
        <w:t>“</w:t>
      </w:r>
      <w:r w:rsidRPr="00230B2E">
        <w:rPr>
          <w:rFonts w:eastAsia="Calibri" w:cs="Times New Roman"/>
          <w:bCs/>
          <w:i/>
          <w:iCs/>
          <w:color w:val="4288C8"/>
          <w:sz w:val="22"/>
          <w:szCs w:val="22"/>
        </w:rPr>
        <w:t xml:space="preserve">For the determination of the AVAs, institutions shall use the same pricing models that they use to determine the changes in the value of positions reported in their financial statements. </w:t>
      </w:r>
      <w:r w:rsidRPr="00567112">
        <w:rPr>
          <w:rFonts w:eastAsia="Calibri" w:cs="Times New Roman"/>
          <w:bCs/>
          <w:i/>
          <w:iCs/>
          <w:color w:val="4288C8"/>
          <w:sz w:val="22"/>
          <w:szCs w:val="22"/>
          <w:u w:val="single"/>
        </w:rPr>
        <w:t>If sensitivities are used in the determination of AVAs, they shall be based on those models</w:t>
      </w:r>
      <w:r w:rsidRPr="00230B2E">
        <w:rPr>
          <w:rFonts w:eastAsia="Calibri" w:cs="Times New Roman"/>
          <w:bCs/>
          <w:color w:val="4288C8"/>
          <w:sz w:val="22"/>
          <w:szCs w:val="22"/>
        </w:rPr>
        <w:t xml:space="preserve">”, we would like to point out the cases where end-of-day valuation is based on </w:t>
      </w:r>
      <w:r w:rsidR="00567112">
        <w:rPr>
          <w:rFonts w:eastAsia="Calibri" w:cs="Times New Roman"/>
          <w:bCs/>
          <w:color w:val="4288C8"/>
          <w:sz w:val="22"/>
          <w:szCs w:val="22"/>
        </w:rPr>
        <w:t>third-</w:t>
      </w:r>
      <w:r w:rsidRPr="00230B2E">
        <w:rPr>
          <w:rFonts w:eastAsia="Calibri" w:cs="Times New Roman"/>
          <w:bCs/>
          <w:color w:val="4288C8"/>
          <w:sz w:val="22"/>
          <w:szCs w:val="22"/>
        </w:rPr>
        <w:t>party pricing model whereas sensitivities that are used for market risk and AVA calculations are produced by internal models. For example, end-of-day valuation for the multi-callable bonds is based on Bloomberg prices, while credit risk sensitivities are not provided by the same vendor but generated from validated internal models. Therefore, we kindly suggest consider</w:t>
      </w:r>
      <w:r w:rsidR="00567112">
        <w:rPr>
          <w:rFonts w:eastAsia="Calibri" w:cs="Times New Roman"/>
          <w:bCs/>
          <w:color w:val="4288C8"/>
          <w:sz w:val="22"/>
          <w:szCs w:val="22"/>
        </w:rPr>
        <w:t>ing the</w:t>
      </w:r>
      <w:r w:rsidRPr="00230B2E">
        <w:rPr>
          <w:rFonts w:eastAsia="Calibri" w:cs="Times New Roman"/>
          <w:bCs/>
          <w:color w:val="4288C8"/>
          <w:sz w:val="22"/>
          <w:szCs w:val="22"/>
        </w:rPr>
        <w:t xml:space="preserve"> rewording </w:t>
      </w:r>
      <w:r w:rsidR="00567112">
        <w:rPr>
          <w:rFonts w:eastAsia="Calibri" w:cs="Times New Roman"/>
          <w:bCs/>
          <w:color w:val="4288C8"/>
          <w:sz w:val="22"/>
          <w:szCs w:val="22"/>
        </w:rPr>
        <w:t xml:space="preserve">of </w:t>
      </w:r>
      <w:r w:rsidRPr="00230B2E">
        <w:rPr>
          <w:rFonts w:eastAsia="Calibri" w:cs="Times New Roman"/>
          <w:bCs/>
          <w:color w:val="4288C8"/>
          <w:sz w:val="22"/>
          <w:szCs w:val="22"/>
        </w:rPr>
        <w:t>the last sentence into</w:t>
      </w:r>
      <w:r w:rsidR="00567112">
        <w:rPr>
          <w:rFonts w:eastAsia="Calibri" w:cs="Times New Roman"/>
          <w:bCs/>
          <w:color w:val="4288C8"/>
          <w:sz w:val="22"/>
          <w:szCs w:val="22"/>
        </w:rPr>
        <w:t xml:space="preserve"> the following:</w:t>
      </w:r>
      <w:r w:rsidRPr="00230B2E">
        <w:rPr>
          <w:rFonts w:eastAsia="Calibri" w:cs="Times New Roman"/>
          <w:bCs/>
          <w:color w:val="4288C8"/>
          <w:sz w:val="22"/>
          <w:szCs w:val="22"/>
        </w:rPr>
        <w:t xml:space="preserve"> “</w:t>
      </w:r>
      <w:r w:rsidRPr="00567112">
        <w:rPr>
          <w:rFonts w:eastAsia="Calibri" w:cs="Times New Roman"/>
          <w:bCs/>
          <w:i/>
          <w:iCs/>
          <w:color w:val="4288C8"/>
          <w:sz w:val="22"/>
          <w:szCs w:val="22"/>
        </w:rPr>
        <w:t>If sensitivities are used in the determination of AVAs, they shall be based on those models, or on validated sensitivity models for end-of-day risk calculations</w:t>
      </w:r>
      <w:r w:rsidR="00567112">
        <w:rPr>
          <w:rFonts w:eastAsia="Calibri" w:cs="Times New Roman"/>
          <w:bCs/>
          <w:color w:val="4288C8"/>
          <w:sz w:val="22"/>
          <w:szCs w:val="22"/>
        </w:rPr>
        <w:t>.”</w:t>
      </w:r>
    </w:p>
    <w:p w14:paraId="058600AF" w14:textId="5F6230F8" w:rsidR="004B20A5" w:rsidRPr="004B20A5" w:rsidRDefault="004B20A5" w:rsidP="004B20A5">
      <w:pPr>
        <w:tabs>
          <w:tab w:val="left" w:pos="2127"/>
        </w:tabs>
        <w:spacing w:before="120"/>
        <w:outlineLvl w:val="0"/>
        <w:rPr>
          <w:rFonts w:eastAsia="Calibri" w:cs="Times New Roman"/>
          <w:bCs/>
          <w:color w:val="4288C8"/>
          <w:sz w:val="22"/>
          <w:szCs w:val="22"/>
        </w:rPr>
      </w:pPr>
      <w:r>
        <w:rPr>
          <w:rFonts w:eastAsia="Calibri" w:cs="Times New Roman"/>
          <w:bCs/>
          <w:color w:val="4288C8"/>
          <w:sz w:val="22"/>
          <w:szCs w:val="22"/>
        </w:rPr>
        <w:t>Moreover, t</w:t>
      </w:r>
      <w:r w:rsidRPr="004B20A5">
        <w:rPr>
          <w:rFonts w:eastAsia="Calibri" w:cs="Times New Roman"/>
          <w:bCs/>
          <w:color w:val="4288C8"/>
          <w:sz w:val="22"/>
          <w:szCs w:val="22"/>
        </w:rPr>
        <w:t>he requirement of Art</w:t>
      </w:r>
      <w:r>
        <w:rPr>
          <w:rFonts w:eastAsia="Calibri" w:cs="Times New Roman"/>
          <w:bCs/>
          <w:color w:val="4288C8"/>
          <w:sz w:val="22"/>
          <w:szCs w:val="22"/>
        </w:rPr>
        <w:t>icle</w:t>
      </w:r>
      <w:r w:rsidRPr="004B20A5">
        <w:rPr>
          <w:rFonts w:eastAsia="Calibri" w:cs="Times New Roman"/>
          <w:bCs/>
          <w:color w:val="4288C8"/>
          <w:sz w:val="22"/>
          <w:szCs w:val="22"/>
        </w:rPr>
        <w:t xml:space="preserve"> 8.7 of inclusion of convexity and cross-order effects is challenging and requires significant effort of implementation and introduces a significant layer of computational burden with limited expected effect from a mostly plain vanilla portfolio. Gamma/x-gamma risks require large moves to become material, which is more relevant for </w:t>
      </w:r>
      <w:proofErr w:type="spellStart"/>
      <w:r w:rsidRPr="004B20A5">
        <w:rPr>
          <w:rFonts w:eastAsia="Calibri" w:cs="Times New Roman"/>
          <w:bCs/>
          <w:color w:val="4288C8"/>
          <w:sz w:val="22"/>
          <w:szCs w:val="22"/>
        </w:rPr>
        <w:t>VaR</w:t>
      </w:r>
      <w:proofErr w:type="spellEnd"/>
      <w:r w:rsidRPr="004B20A5">
        <w:rPr>
          <w:rFonts w:eastAsia="Calibri" w:cs="Times New Roman"/>
          <w:bCs/>
          <w:color w:val="4288C8"/>
          <w:sz w:val="22"/>
          <w:szCs w:val="22"/>
        </w:rPr>
        <w:t xml:space="preserve"> / stressed </w:t>
      </w:r>
      <w:proofErr w:type="spellStart"/>
      <w:r w:rsidRPr="004B20A5">
        <w:rPr>
          <w:rFonts w:eastAsia="Calibri" w:cs="Times New Roman"/>
          <w:bCs/>
          <w:color w:val="4288C8"/>
          <w:sz w:val="22"/>
          <w:szCs w:val="22"/>
        </w:rPr>
        <w:t>VaR</w:t>
      </w:r>
      <w:proofErr w:type="spellEnd"/>
      <w:r w:rsidRPr="004B20A5">
        <w:rPr>
          <w:rFonts w:eastAsia="Calibri" w:cs="Times New Roman"/>
          <w:bCs/>
          <w:color w:val="4288C8"/>
          <w:sz w:val="22"/>
          <w:szCs w:val="22"/>
        </w:rPr>
        <w:t xml:space="preserve"> calculations rather than valuation uncertainty. </w:t>
      </w:r>
      <w:bookmarkStart w:id="2" w:name="_Hlk163733373"/>
      <w:r w:rsidR="001403BC" w:rsidRPr="00AC086B">
        <w:rPr>
          <w:rFonts w:eastAsia="Calibri" w:cs="Times New Roman"/>
          <w:bCs/>
          <w:color w:val="4288C8"/>
          <w:sz w:val="22"/>
          <w:szCs w:val="22"/>
        </w:rPr>
        <w:t xml:space="preserve">Note that </w:t>
      </w:r>
      <w:r w:rsidR="001403BC" w:rsidRPr="0051189E">
        <w:rPr>
          <w:rFonts w:eastAsia="Calibri" w:cs="Times New Roman"/>
          <w:bCs/>
          <w:color w:val="4288C8"/>
          <w:sz w:val="22"/>
          <w:szCs w:val="22"/>
        </w:rPr>
        <w:t xml:space="preserve">even in </w:t>
      </w:r>
      <w:r w:rsidR="00456E33" w:rsidRPr="0051189E">
        <w:rPr>
          <w:rFonts w:eastAsia="Calibri" w:cs="Times New Roman"/>
          <w:bCs/>
          <w:color w:val="4288C8"/>
          <w:sz w:val="22"/>
          <w:szCs w:val="22"/>
        </w:rPr>
        <w:t>a</w:t>
      </w:r>
      <w:r w:rsidR="001403BC" w:rsidRPr="0051189E">
        <w:rPr>
          <w:rFonts w:eastAsia="Calibri" w:cs="Times New Roman"/>
          <w:bCs/>
          <w:color w:val="4288C8"/>
          <w:sz w:val="22"/>
          <w:szCs w:val="22"/>
        </w:rPr>
        <w:t xml:space="preserve"> full revaluation AVA approach not all cross-order effects are covered, not forgetting that a full revaluation solution might potentially be inconsistent with the Variance Ratio Test in case of dimensionality reduction, which somehow assumes sensitivities are used. Next to that, not all residual risks are supposed to be closed out with MPU/COC, given the requirements of Future Administrative Costs AVA, referring to Article 15.1 “institutions may consider the AVA for future administrative costs for a valuation exposure to be zero, where all of the following conditions are met: (a) the individual market price uncertainty, close-out costs, and concentrated positions AVAs implying fully exiting the exposure”. When FAC AVA is calculated for the total exposure, it already addresses any residual risks missed out from MPU/COC. Given no diversification benefit is allowed for FAC AVA, FAC AVA shall not overlap with MPU/COC. </w:t>
      </w:r>
      <w:r w:rsidRPr="004B20A5">
        <w:rPr>
          <w:rFonts w:eastAsia="Calibri" w:cs="Times New Roman"/>
          <w:bCs/>
          <w:color w:val="4288C8"/>
          <w:sz w:val="22"/>
          <w:szCs w:val="22"/>
        </w:rPr>
        <w:t xml:space="preserve"> </w:t>
      </w:r>
      <w:bookmarkEnd w:id="2"/>
      <w:r w:rsidR="008716A6">
        <w:rPr>
          <w:rFonts w:eastAsia="Calibri" w:cs="Times New Roman"/>
          <w:bCs/>
          <w:color w:val="4288C8"/>
          <w:sz w:val="22"/>
          <w:szCs w:val="22"/>
        </w:rPr>
        <w:t xml:space="preserve">All in all, </w:t>
      </w:r>
      <w:r w:rsidR="008716A6" w:rsidRPr="0051189E">
        <w:rPr>
          <w:rFonts w:eastAsia="Calibri" w:cs="Times New Roman"/>
          <w:bCs/>
          <w:strike/>
          <w:color w:val="4288C8"/>
          <w:sz w:val="22"/>
          <w:szCs w:val="22"/>
        </w:rPr>
        <w:t>Therefore</w:t>
      </w:r>
      <w:r w:rsidR="008716A6">
        <w:rPr>
          <w:rFonts w:eastAsia="Calibri" w:cs="Times New Roman"/>
          <w:bCs/>
          <w:color w:val="4288C8"/>
          <w:sz w:val="22"/>
          <w:szCs w:val="22"/>
        </w:rPr>
        <w:t xml:space="preserve">, </w:t>
      </w:r>
      <w:r w:rsidRPr="004B20A5">
        <w:rPr>
          <w:rFonts w:eastAsia="Calibri" w:cs="Times New Roman"/>
          <w:bCs/>
          <w:color w:val="4288C8"/>
          <w:sz w:val="22"/>
          <w:szCs w:val="22"/>
        </w:rPr>
        <w:t>this requirement should be dropped.</w:t>
      </w:r>
    </w:p>
    <w:p w14:paraId="20B95E02" w14:textId="14797458" w:rsidR="004B20A5" w:rsidRPr="00567112" w:rsidRDefault="004B20A5" w:rsidP="004B20A5">
      <w:pPr>
        <w:tabs>
          <w:tab w:val="left" w:pos="2127"/>
        </w:tabs>
        <w:spacing w:before="120"/>
        <w:outlineLvl w:val="0"/>
        <w:rPr>
          <w:rFonts w:eastAsia="Calibri" w:cs="Times New Roman"/>
          <w:bCs/>
          <w:color w:val="4288C8"/>
          <w:sz w:val="22"/>
          <w:szCs w:val="22"/>
        </w:rPr>
      </w:pPr>
      <w:r w:rsidRPr="004B20A5">
        <w:rPr>
          <w:rFonts w:eastAsia="Calibri" w:cs="Times New Roman"/>
          <w:bCs/>
          <w:color w:val="4288C8"/>
          <w:sz w:val="22"/>
          <w:szCs w:val="22"/>
        </w:rPr>
        <w:lastRenderedPageBreak/>
        <w:t>The requirement to calibrate End of Day models quarterly means an unnecessary operational burden, as institutions already use these models to demonstrate marking to market (Fair Value). We propose to drop this requirement.</w:t>
      </w:r>
    </w:p>
    <w:p w14:paraId="5D2984E0" w14:textId="53AA7CC4" w:rsidR="00644DDC" w:rsidRPr="00644DDC" w:rsidRDefault="00644DDC" w:rsidP="00644DDC">
      <w:pPr>
        <w:tabs>
          <w:tab w:val="left" w:pos="2127"/>
        </w:tabs>
        <w:spacing w:before="120"/>
        <w:outlineLvl w:val="0"/>
        <w:rPr>
          <w:rFonts w:eastAsia="Calibri" w:cs="Times New Roman"/>
          <w:b/>
          <w:color w:val="4288C8"/>
          <w:szCs w:val="20"/>
        </w:rPr>
      </w:pPr>
      <w:r w:rsidRPr="00644DDC">
        <w:rPr>
          <w:rFonts w:eastAsia="Calibri" w:cs="Times New Roman"/>
          <w:b/>
          <w:color w:val="4288C8"/>
          <w:szCs w:val="20"/>
        </w:rPr>
        <w:t>Question 8. MPU, CoC and MR - Articles 9, 10, 11</w:t>
      </w:r>
    </w:p>
    <w:p w14:paraId="0DFA8347" w14:textId="12E95E7C" w:rsidR="00644DDC" w:rsidRPr="00644DDC" w:rsidRDefault="00644DDC" w:rsidP="00644DDC">
      <w:pPr>
        <w:tabs>
          <w:tab w:val="left" w:pos="2127"/>
        </w:tabs>
        <w:spacing w:before="120"/>
        <w:outlineLvl w:val="0"/>
        <w:rPr>
          <w:rFonts w:eastAsia="Calibri" w:cs="Times New Roman"/>
          <w:bCs/>
          <w:i/>
          <w:iCs/>
          <w:color w:val="4288C8"/>
          <w:szCs w:val="20"/>
        </w:rPr>
      </w:pPr>
      <w:r w:rsidRPr="00644DDC">
        <w:rPr>
          <w:rFonts w:eastAsia="Calibri" w:cs="Times New Roman"/>
          <w:bCs/>
          <w:i/>
          <w:iCs/>
          <w:color w:val="4288C8"/>
          <w:szCs w:val="20"/>
        </w:rPr>
        <w:t>Do you have any comments with regard to the amendments to Article 9, 10 and 11? If you do not agree with the amendments, please describe how you would adjust or design the requirements to meet the policy objectives that the amendments try to achieve. When giving your answer, please provide the rationale and relevant evidence supporting your proposal.</w:t>
      </w:r>
    </w:p>
    <w:p w14:paraId="19EED088" w14:textId="1F559EBE" w:rsidR="006516D1" w:rsidRPr="003E6B0E" w:rsidRDefault="006516D1" w:rsidP="00BF303F">
      <w:pPr>
        <w:tabs>
          <w:tab w:val="left" w:pos="2127"/>
        </w:tabs>
        <w:spacing w:before="120"/>
        <w:outlineLvl w:val="0"/>
        <w:rPr>
          <w:rFonts w:eastAsia="Calibri" w:cs="Times New Roman"/>
          <w:bCs/>
          <w:color w:val="4288C8"/>
          <w:sz w:val="22"/>
          <w:szCs w:val="22"/>
        </w:rPr>
      </w:pPr>
      <w:r w:rsidRPr="003E6B0E">
        <w:rPr>
          <w:rFonts w:eastAsia="Calibri" w:cs="Times New Roman"/>
          <w:bCs/>
          <w:color w:val="4288C8"/>
          <w:sz w:val="22"/>
          <w:szCs w:val="22"/>
        </w:rPr>
        <w:t>The modifications on Articles 9 and 10 are much more complex to follow, inevitably leading to differences in interpretation among banks. From a presentational point of view, we consider that adding additional requirements with regards to the alpha factor applicability as part of the Annex is not appropriate and any such significant requirements should be part of the articles themselves.</w:t>
      </w:r>
    </w:p>
    <w:p w14:paraId="0063E4E5" w14:textId="48D47F56" w:rsidR="007D0245" w:rsidRDefault="007D0245" w:rsidP="008716A6">
      <w:pPr>
        <w:rPr>
          <w:rFonts w:eastAsia="Calibri" w:cs="Times New Roman"/>
          <w:bCs/>
          <w:color w:val="4288C8"/>
          <w:sz w:val="22"/>
          <w:szCs w:val="22"/>
        </w:rPr>
      </w:pPr>
      <w:bookmarkStart w:id="3" w:name="_Hlk163733742"/>
      <w:r w:rsidRPr="008522A3">
        <w:rPr>
          <w:rFonts w:eastAsia="Calibri" w:cs="Times New Roman"/>
          <w:bCs/>
          <w:color w:val="4288C8"/>
          <w:sz w:val="22"/>
          <w:szCs w:val="22"/>
        </w:rPr>
        <w:t>The articles allow calculation of MPU/COC with available and reliable data sources based on a reduced set of parameters. However, the article should also clarify what constitutes “an unreduced set of parameters”. We therefore request EBA to add a clarification specifying that End</w:t>
      </w:r>
      <w:r w:rsidR="008522A3">
        <w:rPr>
          <w:rFonts w:eastAsia="Calibri" w:cs="Times New Roman"/>
          <w:bCs/>
          <w:color w:val="4288C8"/>
          <w:sz w:val="22"/>
          <w:szCs w:val="22"/>
        </w:rPr>
        <w:t>-</w:t>
      </w:r>
      <w:r w:rsidRPr="008522A3">
        <w:rPr>
          <w:rFonts w:eastAsia="Calibri" w:cs="Times New Roman"/>
          <w:bCs/>
          <w:color w:val="4288C8"/>
          <w:sz w:val="22"/>
          <w:szCs w:val="22"/>
        </w:rPr>
        <w:t>of</w:t>
      </w:r>
      <w:r w:rsidR="008522A3">
        <w:rPr>
          <w:rFonts w:eastAsia="Calibri" w:cs="Times New Roman"/>
          <w:bCs/>
          <w:color w:val="4288C8"/>
          <w:sz w:val="22"/>
          <w:szCs w:val="22"/>
        </w:rPr>
        <w:t>-</w:t>
      </w:r>
      <w:r w:rsidRPr="008522A3">
        <w:rPr>
          <w:rFonts w:eastAsia="Calibri" w:cs="Times New Roman"/>
          <w:bCs/>
          <w:color w:val="4288C8"/>
          <w:sz w:val="22"/>
          <w:szCs w:val="22"/>
        </w:rPr>
        <w:t>Day</w:t>
      </w:r>
      <w:r w:rsidR="008522A3">
        <w:rPr>
          <w:rFonts w:eastAsia="Calibri" w:cs="Times New Roman"/>
          <w:bCs/>
          <w:color w:val="4288C8"/>
          <w:sz w:val="22"/>
          <w:szCs w:val="22"/>
        </w:rPr>
        <w:t xml:space="preserve"> (</w:t>
      </w:r>
      <w:proofErr w:type="spellStart"/>
      <w:r w:rsidR="008522A3">
        <w:rPr>
          <w:rFonts w:eastAsia="Calibri" w:cs="Times New Roman"/>
          <w:bCs/>
          <w:color w:val="4288C8"/>
          <w:sz w:val="22"/>
          <w:szCs w:val="22"/>
        </w:rPr>
        <w:t>hereinafter:EoD</w:t>
      </w:r>
      <w:proofErr w:type="spellEnd"/>
      <w:r w:rsidR="008522A3">
        <w:rPr>
          <w:rFonts w:eastAsia="Calibri" w:cs="Times New Roman"/>
          <w:bCs/>
          <w:color w:val="4288C8"/>
          <w:sz w:val="22"/>
          <w:szCs w:val="22"/>
        </w:rPr>
        <w:t>)</w:t>
      </w:r>
      <w:r w:rsidRPr="008522A3">
        <w:rPr>
          <w:rFonts w:eastAsia="Calibri" w:cs="Times New Roman"/>
          <w:bCs/>
          <w:color w:val="4288C8"/>
          <w:sz w:val="22"/>
          <w:szCs w:val="22"/>
        </w:rPr>
        <w:t xml:space="preserve"> risk representation buckets where risk sensitivities are generated by </w:t>
      </w:r>
      <w:proofErr w:type="spellStart"/>
      <w:r w:rsidRPr="008522A3">
        <w:rPr>
          <w:rFonts w:eastAsia="Calibri" w:cs="Times New Roman"/>
          <w:bCs/>
          <w:color w:val="4288C8"/>
          <w:sz w:val="22"/>
          <w:szCs w:val="22"/>
        </w:rPr>
        <w:t>EoD</w:t>
      </w:r>
      <w:proofErr w:type="spellEnd"/>
      <w:r w:rsidRPr="008522A3">
        <w:rPr>
          <w:rFonts w:eastAsia="Calibri" w:cs="Times New Roman"/>
          <w:bCs/>
          <w:color w:val="4288C8"/>
          <w:sz w:val="22"/>
          <w:szCs w:val="22"/>
        </w:rPr>
        <w:t xml:space="preserve"> valuation models can be considered as the unreduced set of parameters.</w:t>
      </w:r>
      <w:bookmarkEnd w:id="3"/>
    </w:p>
    <w:p w14:paraId="290E6807" w14:textId="4ECB09BB" w:rsidR="003267B7" w:rsidRDefault="00BF303F" w:rsidP="00BF303F">
      <w:pPr>
        <w:tabs>
          <w:tab w:val="left" w:pos="2127"/>
        </w:tabs>
        <w:spacing w:before="120"/>
        <w:contextualSpacing/>
        <w:outlineLvl w:val="0"/>
        <w:rPr>
          <w:rFonts w:eastAsia="Calibri" w:cs="Times New Roman"/>
          <w:bCs/>
          <w:color w:val="4288C8"/>
          <w:sz w:val="22"/>
          <w:szCs w:val="22"/>
        </w:rPr>
      </w:pPr>
      <w:r w:rsidRPr="00BF303F">
        <w:rPr>
          <w:rFonts w:eastAsia="Calibri" w:cs="Times New Roman"/>
          <w:bCs/>
          <w:color w:val="4288C8"/>
          <w:sz w:val="22"/>
          <w:szCs w:val="22"/>
        </w:rPr>
        <w:t xml:space="preserve">The changes with regard to the Variance Ratio Test disincentivise hedging because they </w:t>
      </w:r>
      <w:r w:rsidR="0099179E" w:rsidRPr="00BF303F">
        <w:rPr>
          <w:rFonts w:eastAsia="Calibri" w:cs="Times New Roman"/>
          <w:bCs/>
          <w:color w:val="4288C8"/>
          <w:sz w:val="22"/>
          <w:szCs w:val="22"/>
        </w:rPr>
        <w:t>penalise</w:t>
      </w:r>
      <w:r w:rsidRPr="00BF303F">
        <w:rPr>
          <w:rFonts w:eastAsia="Calibri" w:cs="Times New Roman"/>
          <w:bCs/>
          <w:color w:val="4288C8"/>
          <w:sz w:val="22"/>
          <w:szCs w:val="22"/>
        </w:rPr>
        <w:t xml:space="preserve"> hedging strategies not matching exactly End</w:t>
      </w:r>
      <w:r w:rsidR="008522A3">
        <w:rPr>
          <w:rFonts w:eastAsia="Calibri" w:cs="Times New Roman"/>
          <w:bCs/>
          <w:color w:val="4288C8"/>
          <w:sz w:val="22"/>
          <w:szCs w:val="22"/>
        </w:rPr>
        <w:t>-</w:t>
      </w:r>
      <w:r w:rsidRPr="00BF303F">
        <w:rPr>
          <w:rFonts w:eastAsia="Calibri" w:cs="Times New Roman"/>
          <w:bCs/>
          <w:color w:val="4288C8"/>
          <w:sz w:val="22"/>
          <w:szCs w:val="22"/>
        </w:rPr>
        <w:t>Of</w:t>
      </w:r>
      <w:r w:rsidR="008522A3">
        <w:rPr>
          <w:rFonts w:eastAsia="Calibri" w:cs="Times New Roman"/>
          <w:bCs/>
          <w:color w:val="4288C8"/>
          <w:sz w:val="22"/>
          <w:szCs w:val="22"/>
        </w:rPr>
        <w:t>-</w:t>
      </w:r>
      <w:r w:rsidRPr="00BF303F">
        <w:rPr>
          <w:rFonts w:eastAsia="Calibri" w:cs="Times New Roman"/>
          <w:bCs/>
          <w:color w:val="4288C8"/>
          <w:sz w:val="22"/>
          <w:szCs w:val="22"/>
        </w:rPr>
        <w:t>Day risk buckets.</w:t>
      </w:r>
      <w:r>
        <w:rPr>
          <w:rFonts w:eastAsia="Calibri" w:cs="Times New Roman"/>
          <w:bCs/>
          <w:color w:val="4288C8"/>
          <w:sz w:val="22"/>
          <w:szCs w:val="22"/>
        </w:rPr>
        <w:t xml:space="preserve"> </w:t>
      </w:r>
      <w:r w:rsidRPr="00BF303F">
        <w:rPr>
          <w:rFonts w:eastAsia="Calibri" w:cs="Times New Roman"/>
          <w:bCs/>
          <w:color w:val="4288C8"/>
          <w:sz w:val="22"/>
          <w:szCs w:val="22"/>
        </w:rPr>
        <w:t xml:space="preserve">This increases dispersion of capital across banks, subject to each bank's risk bucket definition and choice of hedges. Moreover, it is </w:t>
      </w:r>
      <w:r w:rsidR="00693C5C">
        <w:rPr>
          <w:rFonts w:eastAsia="Calibri" w:cs="Times New Roman"/>
          <w:bCs/>
          <w:color w:val="4288C8"/>
          <w:sz w:val="22"/>
          <w:szCs w:val="22"/>
        </w:rPr>
        <w:t>i</w:t>
      </w:r>
      <w:r w:rsidRPr="00BF303F">
        <w:rPr>
          <w:rFonts w:eastAsia="Calibri" w:cs="Times New Roman"/>
          <w:bCs/>
          <w:color w:val="4288C8"/>
          <w:sz w:val="22"/>
          <w:szCs w:val="22"/>
        </w:rPr>
        <w:t xml:space="preserve">nconsistent with other capital requirement measures (e.g. FRTB NMRF), where the prescribed bucket reduction does not penalise aggregation. Therefore, we suggest </w:t>
      </w:r>
      <w:r w:rsidR="00F4549F">
        <w:rPr>
          <w:rFonts w:eastAsia="Calibri" w:cs="Times New Roman"/>
          <w:bCs/>
          <w:color w:val="4288C8"/>
          <w:sz w:val="22"/>
          <w:szCs w:val="22"/>
        </w:rPr>
        <w:t>removing opposition</w:t>
      </w:r>
      <w:r w:rsidR="002D5406">
        <w:rPr>
          <w:rFonts w:eastAsia="Calibri" w:cs="Times New Roman"/>
          <w:bCs/>
          <w:color w:val="4288C8"/>
          <w:sz w:val="22"/>
          <w:szCs w:val="22"/>
        </w:rPr>
        <w:t xml:space="preserve"> between VRT and the</w:t>
      </w:r>
      <w:r w:rsidRPr="00BF303F">
        <w:rPr>
          <w:rFonts w:eastAsia="Calibri" w:cs="Times New Roman"/>
          <w:bCs/>
          <w:color w:val="4288C8"/>
          <w:sz w:val="22"/>
          <w:szCs w:val="22"/>
        </w:rPr>
        <w:t xml:space="preserve"> alpha factor </w:t>
      </w:r>
      <w:r w:rsidR="007E7959">
        <w:rPr>
          <w:rFonts w:eastAsia="Calibri" w:cs="Times New Roman"/>
          <w:bCs/>
          <w:color w:val="4288C8"/>
          <w:sz w:val="22"/>
          <w:szCs w:val="22"/>
        </w:rPr>
        <w:t xml:space="preserve">usage </w:t>
      </w:r>
      <w:r w:rsidRPr="00EA6837">
        <w:rPr>
          <w:rFonts w:eastAsia="Calibri" w:cs="Times New Roman"/>
          <w:bCs/>
          <w:strike/>
          <w:color w:val="4288C8"/>
          <w:sz w:val="22"/>
          <w:szCs w:val="22"/>
        </w:rPr>
        <w:t>requirement</w:t>
      </w:r>
      <w:r w:rsidRPr="00BF303F">
        <w:rPr>
          <w:rFonts w:eastAsia="Calibri" w:cs="Times New Roman"/>
          <w:bCs/>
          <w:color w:val="4288C8"/>
          <w:sz w:val="22"/>
          <w:szCs w:val="22"/>
        </w:rPr>
        <w:t xml:space="preserve"> and instead introduc</w:t>
      </w:r>
      <w:r w:rsidR="007E7959">
        <w:rPr>
          <w:rFonts w:eastAsia="Calibri" w:cs="Times New Roman"/>
          <w:bCs/>
          <w:color w:val="4288C8"/>
          <w:sz w:val="22"/>
          <w:szCs w:val="22"/>
        </w:rPr>
        <w:t>ing</w:t>
      </w:r>
      <w:r w:rsidRPr="00BF303F">
        <w:rPr>
          <w:rFonts w:eastAsia="Calibri" w:cs="Times New Roman"/>
          <w:bCs/>
          <w:color w:val="4288C8"/>
          <w:sz w:val="22"/>
          <w:szCs w:val="22"/>
        </w:rPr>
        <w:t xml:space="preserve"> targeted restrictions on the VRT application: </w:t>
      </w:r>
    </w:p>
    <w:p w14:paraId="495A4107" w14:textId="5E412260" w:rsidR="00BF303F" w:rsidRPr="00C91EFF" w:rsidRDefault="00BF303F" w:rsidP="009A6232">
      <w:pPr>
        <w:pStyle w:val="ListParagraph"/>
        <w:numPr>
          <w:ilvl w:val="0"/>
          <w:numId w:val="42"/>
        </w:numPr>
        <w:tabs>
          <w:tab w:val="left" w:pos="2127"/>
        </w:tabs>
        <w:spacing w:before="120"/>
        <w:outlineLvl w:val="0"/>
        <w:rPr>
          <w:rFonts w:eastAsia="Calibri" w:cs="Times New Roman"/>
          <w:bCs/>
          <w:color w:val="4288C8"/>
          <w:sz w:val="22"/>
          <w:szCs w:val="22"/>
        </w:rPr>
      </w:pPr>
      <w:r w:rsidRPr="00C91EFF">
        <w:rPr>
          <w:rFonts w:eastAsia="Calibri" w:cs="Times New Roman"/>
          <w:bCs/>
          <w:color w:val="4288C8"/>
          <w:sz w:val="22"/>
          <w:szCs w:val="22"/>
        </w:rPr>
        <w:t>Requi</w:t>
      </w:r>
      <w:r w:rsidR="00C91EFF" w:rsidRPr="00C91EFF">
        <w:rPr>
          <w:rFonts w:eastAsia="Calibri" w:cs="Times New Roman"/>
          <w:bCs/>
          <w:color w:val="4288C8"/>
          <w:sz w:val="22"/>
          <w:szCs w:val="22"/>
        </w:rPr>
        <w:t>ring</w:t>
      </w:r>
      <w:r w:rsidRPr="00C91EFF">
        <w:rPr>
          <w:rFonts w:eastAsia="Calibri" w:cs="Times New Roman"/>
          <w:bCs/>
          <w:color w:val="4288C8"/>
          <w:sz w:val="22"/>
          <w:szCs w:val="22"/>
        </w:rPr>
        <w:t xml:space="preserve"> liquidity of selected buckets and replicating instruments to be supported by market data.</w:t>
      </w:r>
    </w:p>
    <w:p w14:paraId="04DC2B10" w14:textId="1CE3CE43" w:rsidR="002318EA" w:rsidRPr="00C91EFF" w:rsidRDefault="002318EA" w:rsidP="00C91EFF">
      <w:pPr>
        <w:numPr>
          <w:ilvl w:val="0"/>
          <w:numId w:val="42"/>
        </w:numPr>
        <w:tabs>
          <w:tab w:val="left" w:pos="2127"/>
        </w:tabs>
        <w:spacing w:before="120"/>
        <w:outlineLvl w:val="0"/>
        <w:rPr>
          <w:rFonts w:eastAsia="Calibri" w:cs="Times New Roman"/>
          <w:bCs/>
          <w:color w:val="4288C8"/>
          <w:sz w:val="22"/>
          <w:szCs w:val="22"/>
        </w:rPr>
      </w:pPr>
      <w:r w:rsidRPr="00C91EFF">
        <w:rPr>
          <w:rFonts w:eastAsia="Calibri" w:cs="Times New Roman"/>
          <w:bCs/>
          <w:color w:val="4288C8"/>
          <w:sz w:val="22"/>
          <w:szCs w:val="22"/>
        </w:rPr>
        <w:t>Introducing prudency when buckets with sufficient traded activity/observability and buckets without sufficient trading activity/observability are netted together, by assigning the maximum shift between the two buckets.</w:t>
      </w:r>
    </w:p>
    <w:p w14:paraId="267D821C" w14:textId="03D095BE" w:rsidR="00BF303F" w:rsidRPr="00BF303F" w:rsidRDefault="00BF303F" w:rsidP="00BF303F">
      <w:pPr>
        <w:tabs>
          <w:tab w:val="left" w:pos="2127"/>
        </w:tabs>
        <w:spacing w:before="120"/>
        <w:outlineLvl w:val="0"/>
        <w:rPr>
          <w:rFonts w:eastAsia="Calibri" w:cs="Times New Roman"/>
          <w:bCs/>
          <w:color w:val="4288C8"/>
          <w:sz w:val="22"/>
          <w:szCs w:val="22"/>
        </w:rPr>
      </w:pPr>
      <w:r w:rsidRPr="00BF303F">
        <w:rPr>
          <w:rFonts w:eastAsia="Calibri" w:cs="Times New Roman"/>
          <w:bCs/>
          <w:color w:val="4288C8"/>
          <w:sz w:val="22"/>
          <w:szCs w:val="22"/>
        </w:rPr>
        <w:t xml:space="preserve">The proposal to make Fair Value reserves subject </w:t>
      </w:r>
      <w:r w:rsidR="0002277A">
        <w:rPr>
          <w:rFonts w:eastAsia="Calibri" w:cs="Times New Roman"/>
          <w:bCs/>
          <w:color w:val="4288C8"/>
          <w:sz w:val="22"/>
          <w:szCs w:val="22"/>
        </w:rPr>
        <w:t xml:space="preserve">to </w:t>
      </w:r>
      <w:r w:rsidR="003D01A3" w:rsidRPr="00EA6837">
        <w:rPr>
          <w:rFonts w:eastAsia="Calibri" w:cs="Times New Roman"/>
          <w:bCs/>
          <w:color w:val="4288C8"/>
          <w:sz w:val="22"/>
          <w:szCs w:val="22"/>
        </w:rPr>
        <w:t>supervisors</w:t>
      </w:r>
      <w:r w:rsidRPr="00BF303F">
        <w:rPr>
          <w:rFonts w:eastAsia="Calibri" w:cs="Times New Roman"/>
          <w:bCs/>
          <w:color w:val="4288C8"/>
          <w:sz w:val="22"/>
          <w:szCs w:val="22"/>
        </w:rPr>
        <w:t xml:space="preserve"> horizontal reviews expand prudential supervisory discretion to accounting Fair Value although proper accounting practice is a responsibility of the bank and its auditors enforced by ESMA. Banks are penalised if they do not attribute their Fair Value based on the ECB’s view. Reducing alpha for the entire AVA category to zero seems too punitive, given the fact that the problem above will most likely affect a small part of the portfolio. Moreover, the framework/principles required to ensure no adjustment to alpha factor are unclear and, thus, banks will have to assume the worst case in pricing, increasing competitiveness gap versus banks from third countries.  We </w:t>
      </w:r>
      <w:r w:rsidRPr="00BF303F">
        <w:rPr>
          <w:rFonts w:eastAsia="Calibri" w:cs="Times New Roman"/>
          <w:bCs/>
          <w:color w:val="4288C8"/>
          <w:sz w:val="22"/>
          <w:szCs w:val="22"/>
        </w:rPr>
        <w:lastRenderedPageBreak/>
        <w:t>propose to drop this requirement or at least consider scaling the alpha reduction according to some estimate of the extent of the actual problem.</w:t>
      </w:r>
    </w:p>
    <w:p w14:paraId="37F53A79" w14:textId="77777777" w:rsidR="00BF303F" w:rsidRPr="00BF303F" w:rsidRDefault="00BF303F" w:rsidP="00BF303F">
      <w:pPr>
        <w:tabs>
          <w:tab w:val="left" w:pos="2127"/>
        </w:tabs>
        <w:spacing w:before="120"/>
        <w:outlineLvl w:val="0"/>
        <w:rPr>
          <w:rFonts w:eastAsia="Calibri" w:cs="Times New Roman"/>
          <w:bCs/>
          <w:color w:val="4288C8"/>
          <w:sz w:val="22"/>
          <w:szCs w:val="22"/>
        </w:rPr>
      </w:pPr>
      <w:r w:rsidRPr="00BF303F">
        <w:rPr>
          <w:rFonts w:eastAsia="Calibri" w:cs="Times New Roman"/>
          <w:bCs/>
          <w:color w:val="4288C8"/>
          <w:sz w:val="22"/>
          <w:szCs w:val="22"/>
        </w:rPr>
        <w:t>Banks are forced to book all IPV variances to avoid punitive AVA outcome, resulting in:</w:t>
      </w:r>
    </w:p>
    <w:p w14:paraId="55D106AD" w14:textId="77777777" w:rsidR="00BF303F" w:rsidRPr="00BF303F" w:rsidRDefault="00BF303F" w:rsidP="00BF303F">
      <w:pPr>
        <w:tabs>
          <w:tab w:val="left" w:pos="2127"/>
        </w:tabs>
        <w:spacing w:before="120"/>
        <w:outlineLvl w:val="0"/>
        <w:rPr>
          <w:rFonts w:eastAsia="Calibri" w:cs="Times New Roman"/>
          <w:bCs/>
          <w:color w:val="4288C8"/>
          <w:sz w:val="22"/>
          <w:szCs w:val="22"/>
        </w:rPr>
      </w:pPr>
      <w:r w:rsidRPr="00BF303F">
        <w:rPr>
          <w:rFonts w:eastAsia="Calibri" w:cs="Times New Roman"/>
          <w:bCs/>
          <w:color w:val="4288C8"/>
          <w:sz w:val="22"/>
          <w:szCs w:val="22"/>
        </w:rPr>
        <w:t>-        Removing the concept of risk appetite for valuation uncertainty</w:t>
      </w:r>
    </w:p>
    <w:p w14:paraId="4EFA0911" w14:textId="2206F70B" w:rsidR="00BF303F" w:rsidRPr="00BF303F" w:rsidRDefault="00BF303F" w:rsidP="00BF303F">
      <w:pPr>
        <w:tabs>
          <w:tab w:val="left" w:pos="2127"/>
        </w:tabs>
        <w:spacing w:before="120"/>
        <w:outlineLvl w:val="0"/>
        <w:rPr>
          <w:rFonts w:eastAsia="Calibri" w:cs="Times New Roman"/>
          <w:bCs/>
          <w:color w:val="4288C8"/>
          <w:sz w:val="22"/>
          <w:szCs w:val="22"/>
        </w:rPr>
      </w:pPr>
      <w:r w:rsidRPr="00BF303F">
        <w:rPr>
          <w:rFonts w:eastAsia="Calibri" w:cs="Times New Roman"/>
          <w:bCs/>
          <w:color w:val="4288C8"/>
          <w:sz w:val="22"/>
          <w:szCs w:val="22"/>
        </w:rPr>
        <w:t xml:space="preserve">-    </w:t>
      </w:r>
      <w:r w:rsidR="00C91EFF">
        <w:rPr>
          <w:rFonts w:eastAsia="Calibri" w:cs="Times New Roman"/>
          <w:bCs/>
          <w:color w:val="4288C8"/>
          <w:sz w:val="22"/>
          <w:szCs w:val="22"/>
        </w:rPr>
        <w:t xml:space="preserve"> </w:t>
      </w:r>
      <w:r w:rsidRPr="00BF303F">
        <w:rPr>
          <w:rFonts w:eastAsia="Calibri" w:cs="Times New Roman"/>
          <w:bCs/>
          <w:color w:val="4288C8"/>
          <w:sz w:val="22"/>
          <w:szCs w:val="22"/>
        </w:rPr>
        <w:t>Removing the 1st Line / 2nd Line segregation of duties for Fair Value</w:t>
      </w:r>
      <w:r>
        <w:rPr>
          <w:rFonts w:eastAsia="Calibri" w:cs="Times New Roman"/>
          <w:bCs/>
          <w:color w:val="4288C8"/>
          <w:sz w:val="22"/>
          <w:szCs w:val="22"/>
        </w:rPr>
        <w:t xml:space="preserve"> </w:t>
      </w:r>
      <w:r w:rsidRPr="00BF303F">
        <w:rPr>
          <w:rFonts w:eastAsia="Calibri" w:cs="Times New Roman"/>
          <w:bCs/>
          <w:color w:val="4288C8"/>
          <w:sz w:val="22"/>
          <w:szCs w:val="22"/>
        </w:rPr>
        <w:t>Recognition in P&amp;L of adjustments linked to subjective or uncertain pricing sources, potentially reducing the quality of reported earnings,</w:t>
      </w:r>
    </w:p>
    <w:p w14:paraId="693AB26E" w14:textId="72600D2D" w:rsidR="00BF303F" w:rsidRPr="00BF303F" w:rsidRDefault="00BF303F" w:rsidP="00BF303F">
      <w:pPr>
        <w:tabs>
          <w:tab w:val="left" w:pos="2127"/>
        </w:tabs>
        <w:spacing w:before="120"/>
        <w:outlineLvl w:val="0"/>
        <w:rPr>
          <w:rFonts w:eastAsia="Calibri" w:cs="Times New Roman"/>
          <w:bCs/>
          <w:color w:val="4288C8"/>
          <w:sz w:val="22"/>
          <w:szCs w:val="22"/>
        </w:rPr>
      </w:pPr>
      <w:r w:rsidRPr="00BF303F">
        <w:rPr>
          <w:rFonts w:eastAsia="Calibri" w:cs="Times New Roman"/>
          <w:bCs/>
          <w:color w:val="4288C8"/>
          <w:sz w:val="22"/>
          <w:szCs w:val="22"/>
        </w:rPr>
        <w:t xml:space="preserve">In order to avoid these unintended consequences, we suggest </w:t>
      </w:r>
      <w:r w:rsidR="008522A3">
        <w:rPr>
          <w:rFonts w:eastAsia="Calibri" w:cs="Times New Roman"/>
          <w:bCs/>
          <w:color w:val="4288C8"/>
          <w:sz w:val="22"/>
          <w:szCs w:val="22"/>
        </w:rPr>
        <w:t>:</w:t>
      </w:r>
    </w:p>
    <w:p w14:paraId="0BDC1D53" w14:textId="22EADA8A" w:rsidR="00BF303F" w:rsidRPr="00BF303F" w:rsidRDefault="00BF303F" w:rsidP="00BF303F">
      <w:pPr>
        <w:tabs>
          <w:tab w:val="left" w:pos="2127"/>
        </w:tabs>
        <w:spacing w:before="120"/>
        <w:outlineLvl w:val="0"/>
        <w:rPr>
          <w:rFonts w:eastAsia="Calibri" w:cs="Times New Roman"/>
          <w:bCs/>
          <w:color w:val="4288C8"/>
          <w:sz w:val="22"/>
          <w:szCs w:val="22"/>
        </w:rPr>
      </w:pPr>
      <w:r w:rsidRPr="00BF303F">
        <w:rPr>
          <w:rFonts w:eastAsia="Calibri" w:cs="Times New Roman"/>
          <w:bCs/>
          <w:color w:val="4288C8"/>
          <w:sz w:val="22"/>
          <w:szCs w:val="22"/>
        </w:rPr>
        <w:t>-     maintain</w:t>
      </w:r>
      <w:r w:rsidR="008522A3">
        <w:rPr>
          <w:rFonts w:eastAsia="Calibri" w:cs="Times New Roman"/>
          <w:bCs/>
          <w:color w:val="4288C8"/>
          <w:sz w:val="22"/>
          <w:szCs w:val="22"/>
        </w:rPr>
        <w:t>ing</w:t>
      </w:r>
      <w:r w:rsidRPr="00BF303F">
        <w:rPr>
          <w:rFonts w:eastAsia="Calibri" w:cs="Times New Roman"/>
          <w:bCs/>
          <w:color w:val="4288C8"/>
          <w:sz w:val="22"/>
          <w:szCs w:val="22"/>
        </w:rPr>
        <w:t xml:space="preserve"> the 0.5 aggregation factor </w:t>
      </w:r>
      <w:r w:rsidR="008522A3">
        <w:rPr>
          <w:rFonts w:eastAsia="Calibri" w:cs="Times New Roman"/>
          <w:bCs/>
          <w:color w:val="4288C8"/>
          <w:sz w:val="22"/>
          <w:szCs w:val="22"/>
        </w:rPr>
        <w:t>;</w:t>
      </w:r>
    </w:p>
    <w:p w14:paraId="165DBA31" w14:textId="61F99444" w:rsidR="00BF303F" w:rsidRPr="00BF303F" w:rsidRDefault="00BF303F" w:rsidP="00BF303F">
      <w:pPr>
        <w:tabs>
          <w:tab w:val="left" w:pos="2127"/>
        </w:tabs>
        <w:spacing w:before="120"/>
        <w:outlineLvl w:val="0"/>
        <w:rPr>
          <w:rFonts w:eastAsia="Calibri" w:cs="Times New Roman"/>
          <w:bCs/>
          <w:color w:val="4288C8"/>
          <w:sz w:val="22"/>
          <w:szCs w:val="22"/>
        </w:rPr>
      </w:pPr>
      <w:r w:rsidRPr="00BF303F">
        <w:rPr>
          <w:rFonts w:eastAsia="Calibri" w:cs="Times New Roman"/>
          <w:bCs/>
          <w:color w:val="4288C8"/>
          <w:sz w:val="22"/>
          <w:szCs w:val="22"/>
        </w:rPr>
        <w:t>-      capitalis</w:t>
      </w:r>
      <w:r w:rsidR="008522A3">
        <w:rPr>
          <w:rFonts w:eastAsia="Calibri" w:cs="Times New Roman"/>
          <w:bCs/>
          <w:color w:val="4288C8"/>
          <w:sz w:val="22"/>
          <w:szCs w:val="22"/>
        </w:rPr>
        <w:t>ing</w:t>
      </w:r>
      <w:r w:rsidRPr="00BF303F">
        <w:rPr>
          <w:rFonts w:eastAsia="Calibri" w:cs="Times New Roman"/>
          <w:bCs/>
          <w:color w:val="4288C8"/>
          <w:sz w:val="22"/>
          <w:szCs w:val="22"/>
        </w:rPr>
        <w:t xml:space="preserve"> for Group level net aggressive unadjusted IPV variance for reliable independent pricing sources</w:t>
      </w:r>
      <w:r w:rsidR="008522A3">
        <w:rPr>
          <w:rFonts w:eastAsia="Calibri" w:cs="Times New Roman"/>
          <w:bCs/>
          <w:color w:val="4288C8"/>
          <w:sz w:val="22"/>
          <w:szCs w:val="22"/>
        </w:rPr>
        <w:t xml:space="preserve"> ; and</w:t>
      </w:r>
    </w:p>
    <w:p w14:paraId="00650AB8" w14:textId="06FB8446" w:rsidR="00BF303F" w:rsidRDefault="00BF303F" w:rsidP="00644DDC">
      <w:pPr>
        <w:tabs>
          <w:tab w:val="left" w:pos="2127"/>
        </w:tabs>
        <w:spacing w:before="120"/>
        <w:outlineLvl w:val="0"/>
        <w:rPr>
          <w:rFonts w:eastAsia="Calibri" w:cs="Times New Roman"/>
          <w:bCs/>
          <w:color w:val="4288C8"/>
          <w:sz w:val="22"/>
          <w:szCs w:val="22"/>
        </w:rPr>
      </w:pPr>
      <w:r w:rsidRPr="00BF303F">
        <w:rPr>
          <w:rFonts w:eastAsia="Calibri" w:cs="Times New Roman"/>
          <w:bCs/>
          <w:color w:val="4288C8"/>
          <w:sz w:val="22"/>
          <w:szCs w:val="22"/>
        </w:rPr>
        <w:t xml:space="preserve">-  </w:t>
      </w:r>
      <w:r w:rsidR="00C91EFF">
        <w:rPr>
          <w:rFonts w:eastAsia="Calibri" w:cs="Times New Roman"/>
          <w:bCs/>
          <w:color w:val="4288C8"/>
          <w:sz w:val="22"/>
          <w:szCs w:val="22"/>
        </w:rPr>
        <w:t xml:space="preserve"> </w:t>
      </w:r>
      <w:r w:rsidRPr="00BF303F">
        <w:rPr>
          <w:rFonts w:eastAsia="Calibri" w:cs="Times New Roman"/>
          <w:bCs/>
          <w:color w:val="4288C8"/>
          <w:sz w:val="22"/>
          <w:szCs w:val="22"/>
        </w:rPr>
        <w:t>identify</w:t>
      </w:r>
      <w:r w:rsidR="008522A3">
        <w:rPr>
          <w:rFonts w:eastAsia="Calibri" w:cs="Times New Roman"/>
          <w:bCs/>
          <w:color w:val="4288C8"/>
          <w:sz w:val="22"/>
          <w:szCs w:val="22"/>
        </w:rPr>
        <w:t>ing</w:t>
      </w:r>
      <w:r w:rsidRPr="00BF303F">
        <w:rPr>
          <w:rFonts w:eastAsia="Calibri" w:cs="Times New Roman"/>
          <w:bCs/>
          <w:color w:val="4288C8"/>
          <w:sz w:val="22"/>
          <w:szCs w:val="22"/>
        </w:rPr>
        <w:t xml:space="preserve"> via a systematic assessment the unreliable subset where the asymmetric approach is to be followed for subjective independent pricing sources</w:t>
      </w:r>
      <w:r w:rsidR="008522A3">
        <w:rPr>
          <w:rFonts w:eastAsia="Calibri" w:cs="Times New Roman"/>
          <w:bCs/>
          <w:color w:val="4288C8"/>
          <w:sz w:val="22"/>
          <w:szCs w:val="22"/>
        </w:rPr>
        <w:t>.</w:t>
      </w:r>
    </w:p>
    <w:p w14:paraId="6906D89A" w14:textId="1DC74314" w:rsidR="00644DDC" w:rsidRPr="005E048A" w:rsidRDefault="00644DDC" w:rsidP="00644DDC">
      <w:pPr>
        <w:tabs>
          <w:tab w:val="left" w:pos="2127"/>
        </w:tabs>
        <w:spacing w:before="120"/>
        <w:contextualSpacing/>
        <w:outlineLvl w:val="0"/>
        <w:rPr>
          <w:rFonts w:eastAsia="Calibri" w:cs="Times New Roman"/>
          <w:bCs/>
          <w:color w:val="4288C8"/>
          <w:sz w:val="22"/>
          <w:szCs w:val="22"/>
        </w:rPr>
      </w:pPr>
      <w:r w:rsidRPr="005E048A">
        <w:rPr>
          <w:rFonts w:eastAsia="Calibri" w:cs="Times New Roman"/>
          <w:bCs/>
          <w:color w:val="4288C8"/>
          <w:sz w:val="22"/>
          <w:szCs w:val="22"/>
        </w:rPr>
        <w:t>Article 9 required firms to “</w:t>
      </w:r>
      <w:r w:rsidRPr="00F10ED1">
        <w:rPr>
          <w:rFonts w:eastAsia="Calibri" w:cs="Times New Roman"/>
          <w:bCs/>
          <w:i/>
          <w:iCs/>
          <w:color w:val="4288C8"/>
          <w:sz w:val="22"/>
          <w:szCs w:val="22"/>
        </w:rPr>
        <w:t>calculate individual market price uncertainty AVAs on valuation exposures related to each valuation input that the institutions used in the relevant valuation model to determine that exit price. Each of the valuation inputs shall be treated separately</w:t>
      </w:r>
      <w:r w:rsidRPr="005E048A">
        <w:rPr>
          <w:rFonts w:eastAsia="Calibri" w:cs="Times New Roman"/>
          <w:bCs/>
          <w:color w:val="4288C8"/>
          <w:sz w:val="22"/>
          <w:szCs w:val="22"/>
        </w:rPr>
        <w:t xml:space="preserve">”. </w:t>
      </w:r>
    </w:p>
    <w:p w14:paraId="7BF7F6C0" w14:textId="2A21A981" w:rsidR="00644DDC" w:rsidRPr="005E048A" w:rsidRDefault="00F10ED1" w:rsidP="00644DDC">
      <w:pPr>
        <w:tabs>
          <w:tab w:val="left" w:pos="2127"/>
        </w:tabs>
        <w:spacing w:before="120"/>
        <w:contextualSpacing/>
        <w:outlineLvl w:val="0"/>
        <w:rPr>
          <w:rFonts w:eastAsia="Calibri" w:cs="Times New Roman"/>
          <w:bCs/>
          <w:color w:val="4288C8"/>
          <w:sz w:val="22"/>
          <w:szCs w:val="22"/>
        </w:rPr>
      </w:pPr>
      <w:r>
        <w:rPr>
          <w:rFonts w:eastAsia="Calibri" w:cs="Times New Roman"/>
          <w:bCs/>
          <w:color w:val="4288C8"/>
          <w:sz w:val="22"/>
          <w:szCs w:val="22"/>
        </w:rPr>
        <w:t>Particular attention</w:t>
      </w:r>
      <w:r w:rsidR="00644DDC" w:rsidRPr="005E048A">
        <w:rPr>
          <w:rFonts w:eastAsia="Calibri" w:cs="Times New Roman"/>
          <w:bCs/>
          <w:color w:val="4288C8"/>
          <w:sz w:val="22"/>
          <w:szCs w:val="22"/>
        </w:rPr>
        <w:t xml:space="preserve"> should be </w:t>
      </w:r>
      <w:r>
        <w:rPr>
          <w:rFonts w:eastAsia="Calibri" w:cs="Times New Roman"/>
          <w:bCs/>
          <w:color w:val="4288C8"/>
          <w:sz w:val="22"/>
          <w:szCs w:val="22"/>
        </w:rPr>
        <w:t>paid in order</w:t>
      </w:r>
      <w:r w:rsidR="00644DDC" w:rsidRPr="005E048A">
        <w:rPr>
          <w:rFonts w:eastAsia="Calibri" w:cs="Times New Roman"/>
          <w:bCs/>
          <w:color w:val="4288C8"/>
          <w:sz w:val="22"/>
          <w:szCs w:val="22"/>
        </w:rPr>
        <w:t xml:space="preserve"> to avoid any double counting as the calibration errors observed on one single input may capture other input uncertainties as well.</w:t>
      </w:r>
    </w:p>
    <w:p w14:paraId="5D85753F" w14:textId="6F7BBC87" w:rsidR="00644DDC" w:rsidRPr="005E048A" w:rsidRDefault="00644DDC" w:rsidP="00644DDC">
      <w:pPr>
        <w:tabs>
          <w:tab w:val="left" w:pos="2127"/>
        </w:tabs>
        <w:spacing w:before="120"/>
        <w:outlineLvl w:val="0"/>
        <w:rPr>
          <w:rFonts w:eastAsia="Calibri" w:cs="Times New Roman"/>
          <w:bCs/>
          <w:color w:val="4288C8"/>
          <w:sz w:val="22"/>
          <w:szCs w:val="22"/>
        </w:rPr>
      </w:pPr>
      <w:r w:rsidRPr="005E048A">
        <w:rPr>
          <w:rFonts w:eastAsia="Calibri" w:cs="Times New Roman"/>
          <w:bCs/>
          <w:color w:val="4288C8"/>
          <w:sz w:val="22"/>
          <w:szCs w:val="22"/>
        </w:rPr>
        <w:t>These articles combined with the Annex make the use of the reduction of the number of parameters of a valuation input through the variance ratio test (VRT) conditional to the loss of the diversification benefit (alpha = 0). It seems that the distinct concepts of risk offsetting and diversification have been mixed by the authors of the revised framework. We remind that the former assumes high correlation between closely related risk factors (in particular within a valuation input matrix) and the latter assumes low correlation between</w:t>
      </w:r>
      <w:r w:rsidR="00D01E9F">
        <w:rPr>
          <w:rFonts w:eastAsia="Calibri" w:cs="Times New Roman"/>
          <w:bCs/>
          <w:color w:val="4288C8"/>
          <w:sz w:val="22"/>
          <w:szCs w:val="22"/>
        </w:rPr>
        <w:t xml:space="preserve"> </w:t>
      </w:r>
      <w:r w:rsidRPr="005E048A">
        <w:rPr>
          <w:rFonts w:eastAsia="Calibri" w:cs="Times New Roman"/>
          <w:bCs/>
          <w:color w:val="4288C8"/>
          <w:sz w:val="22"/>
          <w:szCs w:val="22"/>
        </w:rPr>
        <w:t xml:space="preserve">unconnected  uncertainties. The two effects coexist, so it is not logical at all to require having to choose one or the other effect. It is important to highlight that diversification factor is a way to handle the decorrelation effect between two </w:t>
      </w:r>
      <w:r w:rsidR="00B80394" w:rsidRPr="008522A3">
        <w:rPr>
          <w:rFonts w:eastAsia="Calibri" w:cs="Times New Roman"/>
          <w:bCs/>
          <w:color w:val="4288C8"/>
          <w:sz w:val="22"/>
          <w:szCs w:val="22"/>
        </w:rPr>
        <w:t>uncertainties</w:t>
      </w:r>
      <w:r w:rsidRPr="005E048A">
        <w:rPr>
          <w:rFonts w:eastAsia="Calibri" w:cs="Times New Roman"/>
          <w:bCs/>
          <w:color w:val="4288C8"/>
          <w:sz w:val="22"/>
          <w:szCs w:val="22"/>
        </w:rPr>
        <w:t xml:space="preserve"> of different asset types which will no longer be taken into account with the new proposal.</w:t>
      </w:r>
    </w:p>
    <w:p w14:paraId="03A93640" w14:textId="3B9EABB2" w:rsidR="00644DDC" w:rsidRPr="005E048A" w:rsidRDefault="00644DDC" w:rsidP="00644DDC">
      <w:pPr>
        <w:tabs>
          <w:tab w:val="left" w:pos="2127"/>
        </w:tabs>
        <w:spacing w:before="120"/>
        <w:outlineLvl w:val="0"/>
        <w:rPr>
          <w:rFonts w:eastAsia="Calibri" w:cs="Times New Roman"/>
          <w:bCs/>
          <w:color w:val="4288C8"/>
          <w:sz w:val="22"/>
          <w:szCs w:val="22"/>
        </w:rPr>
      </w:pPr>
      <w:r w:rsidRPr="005E048A">
        <w:rPr>
          <w:rFonts w:eastAsia="Calibri" w:cs="Times New Roman"/>
          <w:bCs/>
          <w:color w:val="4288C8"/>
          <w:sz w:val="22"/>
          <w:szCs w:val="22"/>
        </w:rPr>
        <w:t>The proposal put forward with the Consultation Paper fundamentally contradicts the meaning and the spirit of the diversification benefit, as previously elaborated by the EBA in its discussion paper on Prudent Valuation:</w:t>
      </w:r>
    </w:p>
    <w:p w14:paraId="5A3E7EFD" w14:textId="555BF628" w:rsidR="00644DDC" w:rsidRPr="005E048A" w:rsidRDefault="00644DDC" w:rsidP="00644DDC">
      <w:pPr>
        <w:tabs>
          <w:tab w:val="left" w:pos="2127"/>
        </w:tabs>
        <w:spacing w:before="120"/>
        <w:outlineLvl w:val="0"/>
        <w:rPr>
          <w:rFonts w:eastAsia="Calibri" w:cs="Times New Roman"/>
          <w:bCs/>
          <w:color w:val="4288C8"/>
          <w:sz w:val="22"/>
          <w:szCs w:val="22"/>
        </w:rPr>
      </w:pPr>
      <w:r w:rsidRPr="005E048A">
        <w:rPr>
          <w:rFonts w:eastAsia="Calibri" w:cs="Times New Roman"/>
          <w:bCs/>
          <w:color w:val="4288C8"/>
          <w:sz w:val="22"/>
          <w:szCs w:val="22"/>
        </w:rPr>
        <w:t>“</w:t>
      </w:r>
      <w:r w:rsidRPr="005E048A">
        <w:rPr>
          <w:rFonts w:eastAsia="Calibri" w:cs="Times New Roman"/>
          <w:bCs/>
          <w:i/>
          <w:iCs/>
          <w:color w:val="4288C8"/>
          <w:sz w:val="22"/>
          <w:szCs w:val="22"/>
        </w:rPr>
        <w:t>The principle of allowing for a diversification benefit is based on the theory that an institution with many small valuation uncertainties may face a very different total valuation uncertainty when compared to an institution with one large valuation uncertainty</w:t>
      </w:r>
      <w:r w:rsidRPr="005E048A">
        <w:rPr>
          <w:rFonts w:eastAsia="Calibri" w:cs="Times New Roman"/>
          <w:bCs/>
          <w:color w:val="4288C8"/>
          <w:sz w:val="22"/>
          <w:szCs w:val="22"/>
        </w:rPr>
        <w:t>”.</w:t>
      </w:r>
    </w:p>
    <w:p w14:paraId="2A9A90B8" w14:textId="78182BCE" w:rsidR="00644DDC" w:rsidRPr="005E048A" w:rsidRDefault="00644DDC" w:rsidP="00644DDC">
      <w:pPr>
        <w:tabs>
          <w:tab w:val="left" w:pos="2127"/>
        </w:tabs>
        <w:spacing w:before="120"/>
        <w:outlineLvl w:val="0"/>
        <w:rPr>
          <w:rFonts w:eastAsia="Calibri" w:cs="Times New Roman"/>
          <w:bCs/>
          <w:color w:val="4288C8"/>
          <w:sz w:val="22"/>
          <w:szCs w:val="22"/>
        </w:rPr>
      </w:pPr>
      <w:r w:rsidRPr="005E048A">
        <w:rPr>
          <w:rFonts w:eastAsia="Calibri" w:cs="Times New Roman"/>
          <w:bCs/>
          <w:color w:val="4288C8"/>
          <w:sz w:val="22"/>
          <w:szCs w:val="22"/>
        </w:rPr>
        <w:t>“</w:t>
      </w:r>
      <w:r w:rsidRPr="005E048A">
        <w:rPr>
          <w:rFonts w:eastAsia="Calibri" w:cs="Times New Roman"/>
          <w:bCs/>
          <w:i/>
          <w:iCs/>
          <w:color w:val="4288C8"/>
          <w:sz w:val="22"/>
          <w:szCs w:val="22"/>
        </w:rPr>
        <w:t xml:space="preserve">Any diversification benefit should in any case only apply to certain AVAs as some relate to uncertainty around the fair value of individual positions which could be </w:t>
      </w:r>
      <w:r w:rsidRPr="005E048A">
        <w:rPr>
          <w:rFonts w:eastAsia="Calibri" w:cs="Times New Roman"/>
          <w:bCs/>
          <w:i/>
          <w:iCs/>
          <w:color w:val="4288C8"/>
          <w:sz w:val="22"/>
          <w:szCs w:val="22"/>
        </w:rPr>
        <w:lastRenderedPageBreak/>
        <w:t>positive or negative (and which would not all be expected to be at the bottom of the range of plausible values at the same time) while others relate to reserves that are required for particular reasons that are only negative</w:t>
      </w:r>
      <w:r w:rsidRPr="005E048A">
        <w:rPr>
          <w:rFonts w:eastAsia="Calibri" w:cs="Times New Roman"/>
          <w:bCs/>
          <w:color w:val="4288C8"/>
          <w:sz w:val="22"/>
          <w:szCs w:val="22"/>
        </w:rPr>
        <w:t>.”</w:t>
      </w:r>
    </w:p>
    <w:p w14:paraId="165941D8" w14:textId="17D40C3F" w:rsidR="00644DDC" w:rsidRPr="005E048A" w:rsidRDefault="00644DDC" w:rsidP="00644DDC">
      <w:pPr>
        <w:tabs>
          <w:tab w:val="left" w:pos="2127"/>
        </w:tabs>
        <w:spacing w:before="120"/>
        <w:outlineLvl w:val="0"/>
        <w:rPr>
          <w:rFonts w:eastAsia="Calibri" w:cs="Times New Roman"/>
          <w:bCs/>
          <w:color w:val="4288C8"/>
          <w:sz w:val="22"/>
          <w:szCs w:val="22"/>
        </w:rPr>
      </w:pPr>
      <w:r w:rsidRPr="005E048A">
        <w:rPr>
          <w:rFonts w:eastAsia="Calibri" w:cs="Times New Roman"/>
          <w:bCs/>
          <w:color w:val="4288C8"/>
          <w:sz w:val="22"/>
          <w:szCs w:val="22"/>
        </w:rPr>
        <w:t>Besides, the revised framework no longer allows securities with quoted prices to be treated as a curve (like a government bond often managed together with interest rate swaps) and specifies that each point of a curve/surface must be treated as autonomous valuation inputs. This would not allow measuring the uncertainty of the marking of a curve/surface as a whole by analysing dispersions of quotes of whole curves/surfaces that are provided by consensus services for the purpose of measuring MPU. Indeed, curve/surface cannot be distorted in erratic way by moving each point in the adverse direction of the exposure (long or short). This would result in AVAs unfounded and beyond reasonableness.</w:t>
      </w:r>
    </w:p>
    <w:p w14:paraId="1A66B441" w14:textId="72F3D30D" w:rsidR="00644DDC" w:rsidRPr="005E048A" w:rsidRDefault="00644DDC" w:rsidP="00644DDC">
      <w:pPr>
        <w:tabs>
          <w:tab w:val="left" w:pos="2127"/>
        </w:tabs>
        <w:spacing w:before="120"/>
        <w:outlineLvl w:val="0"/>
        <w:rPr>
          <w:rFonts w:eastAsia="Calibri" w:cs="Times New Roman"/>
          <w:bCs/>
          <w:color w:val="4288C8"/>
          <w:sz w:val="22"/>
          <w:szCs w:val="22"/>
        </w:rPr>
      </w:pPr>
      <w:r w:rsidRPr="005E048A">
        <w:rPr>
          <w:rFonts w:eastAsia="Calibri" w:cs="Times New Roman"/>
          <w:bCs/>
          <w:color w:val="4288C8"/>
          <w:sz w:val="22"/>
          <w:szCs w:val="22"/>
        </w:rPr>
        <w:t>Banks consider it important to keep the possibility of defining a global curve or surface as a global valuation input especially when it is issued from a validated calibrated data model and for which curve or surface scenarios will be used to model plausible 90</w:t>
      </w:r>
      <w:r w:rsidRPr="00F10ED1">
        <w:rPr>
          <w:rFonts w:eastAsia="Calibri" w:cs="Times New Roman"/>
          <w:bCs/>
          <w:color w:val="4288C8"/>
          <w:sz w:val="22"/>
          <w:szCs w:val="22"/>
          <w:vertAlign w:val="superscript"/>
        </w:rPr>
        <w:t>th</w:t>
      </w:r>
      <w:r w:rsidRPr="005E048A">
        <w:rPr>
          <w:rFonts w:eastAsia="Calibri" w:cs="Times New Roman"/>
          <w:bCs/>
          <w:color w:val="4288C8"/>
          <w:sz w:val="22"/>
          <w:szCs w:val="22"/>
        </w:rPr>
        <w:t xml:space="preserve"> percentile uncertainties.</w:t>
      </w:r>
    </w:p>
    <w:p w14:paraId="711DDC48" w14:textId="77777777" w:rsidR="00644DDC" w:rsidRPr="005E048A" w:rsidRDefault="00644DDC" w:rsidP="00644DDC">
      <w:pPr>
        <w:tabs>
          <w:tab w:val="left" w:pos="2127"/>
        </w:tabs>
        <w:spacing w:before="120"/>
        <w:outlineLvl w:val="0"/>
        <w:rPr>
          <w:rFonts w:eastAsia="Calibri" w:cs="Times New Roman"/>
          <w:bCs/>
          <w:color w:val="4288C8"/>
          <w:sz w:val="22"/>
          <w:szCs w:val="22"/>
        </w:rPr>
      </w:pPr>
      <w:r w:rsidRPr="005E048A">
        <w:rPr>
          <w:rFonts w:eastAsia="Calibri" w:cs="Times New Roman"/>
          <w:bCs/>
          <w:color w:val="4288C8"/>
          <w:sz w:val="22"/>
          <w:szCs w:val="22"/>
        </w:rPr>
        <w:t xml:space="preserve">Current revised framework, lead to an inconsistency of the valuation input definition between: </w:t>
      </w:r>
    </w:p>
    <w:p w14:paraId="2198989D" w14:textId="7FEAEF86" w:rsidR="00644DDC" w:rsidRPr="005E048A" w:rsidRDefault="00644DDC" w:rsidP="00644DDC">
      <w:pPr>
        <w:tabs>
          <w:tab w:val="left" w:pos="2127"/>
        </w:tabs>
        <w:spacing w:before="120"/>
        <w:outlineLvl w:val="0"/>
        <w:rPr>
          <w:rFonts w:eastAsia="Calibri" w:cs="Times New Roman"/>
          <w:bCs/>
          <w:color w:val="4288C8"/>
          <w:sz w:val="22"/>
          <w:szCs w:val="22"/>
        </w:rPr>
      </w:pPr>
      <w:r w:rsidRPr="005E048A">
        <w:rPr>
          <w:rFonts w:eastAsia="Calibri" w:cs="Times New Roman"/>
          <w:bCs/>
          <w:color w:val="4288C8"/>
          <w:sz w:val="22"/>
          <w:szCs w:val="22"/>
        </w:rPr>
        <w:t>-</w:t>
      </w:r>
      <w:r w:rsidR="00F10ED1">
        <w:rPr>
          <w:rFonts w:eastAsia="Calibri" w:cs="Times New Roman"/>
          <w:bCs/>
          <w:color w:val="4288C8"/>
          <w:sz w:val="22"/>
          <w:szCs w:val="22"/>
        </w:rPr>
        <w:t xml:space="preserve"> A</w:t>
      </w:r>
      <w:r w:rsidRPr="005E048A">
        <w:rPr>
          <w:rFonts w:eastAsia="Calibri" w:cs="Times New Roman"/>
          <w:bCs/>
          <w:color w:val="4288C8"/>
          <w:sz w:val="22"/>
          <w:szCs w:val="22"/>
        </w:rPr>
        <w:t>rt. 9.1: valuation input = “every parameter in the matrix”, and</w:t>
      </w:r>
    </w:p>
    <w:p w14:paraId="4CD53041" w14:textId="79CC1752" w:rsidR="00644DDC" w:rsidRPr="005E048A" w:rsidRDefault="00644DDC" w:rsidP="00644DDC">
      <w:pPr>
        <w:tabs>
          <w:tab w:val="left" w:pos="2127"/>
        </w:tabs>
        <w:spacing w:before="120"/>
        <w:outlineLvl w:val="0"/>
        <w:rPr>
          <w:rFonts w:eastAsia="Calibri" w:cs="Times New Roman"/>
          <w:bCs/>
          <w:color w:val="4288C8"/>
          <w:sz w:val="22"/>
          <w:szCs w:val="22"/>
        </w:rPr>
      </w:pPr>
      <w:r w:rsidRPr="005E048A">
        <w:rPr>
          <w:rFonts w:eastAsia="Calibri" w:cs="Times New Roman"/>
          <w:bCs/>
          <w:color w:val="4288C8"/>
          <w:sz w:val="22"/>
          <w:szCs w:val="22"/>
        </w:rPr>
        <w:t>-</w:t>
      </w:r>
      <w:r w:rsidR="00F10ED1">
        <w:rPr>
          <w:rFonts w:eastAsia="Calibri" w:cs="Times New Roman"/>
          <w:bCs/>
          <w:color w:val="4288C8"/>
          <w:sz w:val="22"/>
          <w:szCs w:val="22"/>
        </w:rPr>
        <w:t xml:space="preserve"> A</w:t>
      </w:r>
      <w:r w:rsidRPr="005E048A">
        <w:rPr>
          <w:rFonts w:eastAsia="Calibri" w:cs="Times New Roman"/>
          <w:bCs/>
          <w:color w:val="4288C8"/>
          <w:sz w:val="22"/>
          <w:szCs w:val="22"/>
        </w:rPr>
        <w:t>rt. 9.4(b): “where the value of a parameter is extrapolated from parameters of the same valuation input”. In this case we understand that the matrix is the valuation input.</w:t>
      </w:r>
    </w:p>
    <w:p w14:paraId="58109676" w14:textId="0FBDA769" w:rsidR="00644DDC" w:rsidRPr="005E048A" w:rsidRDefault="00F10ED1" w:rsidP="00644DDC">
      <w:pPr>
        <w:tabs>
          <w:tab w:val="left" w:pos="2127"/>
        </w:tabs>
        <w:spacing w:before="120"/>
        <w:outlineLvl w:val="0"/>
        <w:rPr>
          <w:rFonts w:eastAsia="Calibri" w:cs="Times New Roman"/>
          <w:bCs/>
          <w:color w:val="4288C8"/>
          <w:sz w:val="22"/>
          <w:szCs w:val="22"/>
        </w:rPr>
      </w:pPr>
      <w:r>
        <w:rPr>
          <w:rFonts w:eastAsia="Calibri" w:cs="Times New Roman"/>
          <w:bCs/>
          <w:color w:val="4288C8"/>
          <w:sz w:val="22"/>
          <w:szCs w:val="22"/>
        </w:rPr>
        <w:t xml:space="preserve">- </w:t>
      </w:r>
      <w:r w:rsidR="00644DDC" w:rsidRPr="005E048A">
        <w:rPr>
          <w:rFonts w:eastAsia="Calibri" w:cs="Times New Roman"/>
          <w:bCs/>
          <w:color w:val="4288C8"/>
          <w:sz w:val="22"/>
          <w:szCs w:val="22"/>
        </w:rPr>
        <w:t>Art 9.9: “Any weakness in the methodology applied shall be addressed by including a margin of conservatism in the determination of the estimate”. Some details and illustrative examples on the definition of such margin of conservatism would be also welcome.</w:t>
      </w:r>
    </w:p>
    <w:p w14:paraId="4DEAC021" w14:textId="0EF47ECE" w:rsidR="00644DDC" w:rsidRPr="005E048A" w:rsidRDefault="00644DDC" w:rsidP="00644DDC">
      <w:pPr>
        <w:tabs>
          <w:tab w:val="left" w:pos="2127"/>
        </w:tabs>
        <w:spacing w:before="120"/>
        <w:outlineLvl w:val="0"/>
        <w:rPr>
          <w:rFonts w:eastAsia="Calibri" w:cs="Times New Roman"/>
          <w:bCs/>
          <w:color w:val="4288C8"/>
          <w:sz w:val="22"/>
          <w:szCs w:val="22"/>
        </w:rPr>
      </w:pPr>
      <w:r w:rsidRPr="005E048A">
        <w:rPr>
          <w:rFonts w:eastAsia="Calibri" w:cs="Times New Roman"/>
          <w:bCs/>
          <w:color w:val="4288C8"/>
          <w:sz w:val="22"/>
          <w:szCs w:val="22"/>
        </w:rPr>
        <w:t>Finally, under the revised framework, it is mentioned under article 9 paragraph 11 that institutions that apply the expert-based approach should report the largest individual MPU AVAs determined based on that approach. Is this reporting compatible with a sensitivity-based calculation as this would imply calculating the AVAs at valuation exposure level instead of position level?</w:t>
      </w:r>
    </w:p>
    <w:p w14:paraId="355856AB" w14:textId="375C532E" w:rsidR="00644DDC" w:rsidRDefault="00644DDC" w:rsidP="00644DDC">
      <w:pPr>
        <w:tabs>
          <w:tab w:val="left" w:pos="2127"/>
        </w:tabs>
        <w:spacing w:before="120"/>
        <w:outlineLvl w:val="0"/>
        <w:rPr>
          <w:rFonts w:eastAsia="Calibri" w:cs="Times New Roman"/>
          <w:bCs/>
          <w:color w:val="4288C8"/>
          <w:szCs w:val="20"/>
        </w:rPr>
      </w:pPr>
      <w:r w:rsidRPr="005E048A">
        <w:rPr>
          <w:rFonts w:eastAsia="Calibri" w:cs="Times New Roman"/>
          <w:bCs/>
          <w:color w:val="4288C8"/>
          <w:sz w:val="22"/>
          <w:szCs w:val="22"/>
        </w:rPr>
        <w:t xml:space="preserve">As a rule, articles 9 and 10 have become more complex and many aspects will require further assistance on </w:t>
      </w:r>
      <w:r w:rsidR="00F10ED1">
        <w:rPr>
          <w:rFonts w:eastAsia="Calibri" w:cs="Times New Roman"/>
          <w:bCs/>
          <w:color w:val="4288C8"/>
          <w:sz w:val="22"/>
          <w:szCs w:val="22"/>
        </w:rPr>
        <w:t>their</w:t>
      </w:r>
      <w:r w:rsidRPr="005E048A">
        <w:rPr>
          <w:rFonts w:eastAsia="Calibri" w:cs="Times New Roman"/>
          <w:bCs/>
          <w:color w:val="4288C8"/>
          <w:sz w:val="22"/>
          <w:szCs w:val="22"/>
        </w:rPr>
        <w:t xml:space="preserve"> expected application. This complexity will most likely generate discrepancies among peers regarding the implementation of the norm, thus obtaining results</w:t>
      </w:r>
      <w:r w:rsidR="005208C6">
        <w:rPr>
          <w:rFonts w:eastAsia="Calibri" w:cs="Times New Roman"/>
          <w:bCs/>
          <w:color w:val="4288C8"/>
          <w:sz w:val="22"/>
          <w:szCs w:val="22"/>
        </w:rPr>
        <w:t xml:space="preserve"> contrary</w:t>
      </w:r>
      <w:r w:rsidRPr="005E048A">
        <w:rPr>
          <w:rFonts w:eastAsia="Calibri" w:cs="Times New Roman"/>
          <w:bCs/>
          <w:color w:val="4288C8"/>
          <w:sz w:val="22"/>
          <w:szCs w:val="22"/>
        </w:rPr>
        <w:t xml:space="preserve"> to the objective of the RTS. For this </w:t>
      </w:r>
      <w:r w:rsidR="005208C6">
        <w:rPr>
          <w:rFonts w:eastAsia="Calibri" w:cs="Times New Roman"/>
          <w:bCs/>
          <w:color w:val="4288C8"/>
          <w:sz w:val="22"/>
          <w:szCs w:val="22"/>
        </w:rPr>
        <w:t>reason</w:t>
      </w:r>
      <w:r w:rsidRPr="005E048A">
        <w:rPr>
          <w:rFonts w:eastAsia="Calibri" w:cs="Times New Roman"/>
          <w:bCs/>
          <w:color w:val="4288C8"/>
          <w:sz w:val="22"/>
          <w:szCs w:val="22"/>
        </w:rPr>
        <w:t xml:space="preserve">, the authorities should aim to incorporate </w:t>
      </w:r>
      <w:r w:rsidR="005208C6">
        <w:rPr>
          <w:rFonts w:eastAsia="Calibri" w:cs="Times New Roman"/>
          <w:bCs/>
          <w:color w:val="4288C8"/>
          <w:sz w:val="22"/>
          <w:szCs w:val="22"/>
        </w:rPr>
        <w:t>clear-cut</w:t>
      </w:r>
      <w:r w:rsidRPr="005E048A">
        <w:rPr>
          <w:rFonts w:eastAsia="Calibri" w:cs="Times New Roman"/>
          <w:bCs/>
          <w:color w:val="4288C8"/>
          <w:sz w:val="22"/>
          <w:szCs w:val="22"/>
        </w:rPr>
        <w:t xml:space="preserve"> definitions, accompanied by multiple examples for different cases</w:t>
      </w:r>
      <w:r w:rsidR="005208C6">
        <w:rPr>
          <w:rFonts w:eastAsia="Calibri" w:cs="Times New Roman"/>
          <w:bCs/>
          <w:color w:val="4288C8"/>
          <w:sz w:val="22"/>
          <w:szCs w:val="22"/>
        </w:rPr>
        <w:t>,</w:t>
      </w:r>
      <w:r w:rsidRPr="005E048A">
        <w:rPr>
          <w:rFonts w:eastAsia="Calibri" w:cs="Times New Roman"/>
          <w:bCs/>
          <w:color w:val="4288C8"/>
          <w:sz w:val="22"/>
          <w:szCs w:val="22"/>
        </w:rPr>
        <w:t xml:space="preserve"> which illustrate how the guidelines should be interpreted.</w:t>
      </w:r>
    </w:p>
    <w:p w14:paraId="7109B4E6" w14:textId="77777777" w:rsidR="00644DDC" w:rsidRPr="00CD4B56" w:rsidRDefault="00644DDC" w:rsidP="005B7427">
      <w:pPr>
        <w:tabs>
          <w:tab w:val="left" w:pos="2127"/>
        </w:tabs>
        <w:spacing w:before="120"/>
        <w:outlineLvl w:val="0"/>
        <w:rPr>
          <w:rFonts w:eastAsia="Calibri" w:cs="Times New Roman"/>
          <w:b/>
          <w:color w:val="4288C8"/>
          <w:szCs w:val="20"/>
        </w:rPr>
      </w:pPr>
    </w:p>
    <w:p w14:paraId="503A770A" w14:textId="2145E491" w:rsidR="00CD4B56" w:rsidRPr="00CD4B56" w:rsidRDefault="00CD4B56" w:rsidP="00CD4B56">
      <w:pPr>
        <w:tabs>
          <w:tab w:val="left" w:pos="2127"/>
        </w:tabs>
        <w:spacing w:before="120"/>
        <w:outlineLvl w:val="0"/>
        <w:rPr>
          <w:rFonts w:eastAsia="Calibri" w:cs="Times New Roman"/>
          <w:b/>
          <w:color w:val="4288C8"/>
          <w:szCs w:val="20"/>
        </w:rPr>
      </w:pPr>
      <w:r w:rsidRPr="00CD4B56">
        <w:rPr>
          <w:rFonts w:eastAsia="Calibri" w:cs="Times New Roman"/>
          <w:b/>
          <w:color w:val="4288C8"/>
          <w:szCs w:val="20"/>
        </w:rPr>
        <w:t>Question 9. UCS - Article 12</w:t>
      </w:r>
    </w:p>
    <w:p w14:paraId="04643411" w14:textId="115E6333" w:rsidR="00CD4B56" w:rsidRPr="00CD4B56" w:rsidRDefault="00CD4B56" w:rsidP="00CD4B56">
      <w:pPr>
        <w:tabs>
          <w:tab w:val="left" w:pos="2127"/>
        </w:tabs>
        <w:spacing w:before="120"/>
        <w:outlineLvl w:val="0"/>
        <w:rPr>
          <w:rFonts w:eastAsia="Calibri" w:cs="Times New Roman"/>
          <w:bCs/>
          <w:i/>
          <w:iCs/>
          <w:color w:val="4288C8"/>
          <w:szCs w:val="20"/>
        </w:rPr>
      </w:pPr>
      <w:r w:rsidRPr="00CD4B56">
        <w:rPr>
          <w:rFonts w:eastAsia="Calibri" w:cs="Times New Roman"/>
          <w:bCs/>
          <w:i/>
          <w:iCs/>
          <w:color w:val="4288C8"/>
          <w:szCs w:val="20"/>
        </w:rPr>
        <w:t xml:space="preserve">Do you have any comments with regard to the amendments to Article 12? If you do not agree with the amendments, please describe how you would adjust or design the </w:t>
      </w:r>
      <w:r w:rsidRPr="00CD4B56">
        <w:rPr>
          <w:rFonts w:eastAsia="Calibri" w:cs="Times New Roman"/>
          <w:bCs/>
          <w:i/>
          <w:iCs/>
          <w:color w:val="4288C8"/>
          <w:szCs w:val="20"/>
        </w:rPr>
        <w:lastRenderedPageBreak/>
        <w:t>requirements to meet the policy objectives that the amendments try to achieve. When giving your answer, please provide the rationale and relevant evidence supporting your proposal.</w:t>
      </w:r>
    </w:p>
    <w:p w14:paraId="22DC290B" w14:textId="00002764" w:rsidR="00BF303F" w:rsidRPr="00BF303F" w:rsidRDefault="00BF303F" w:rsidP="00BF303F">
      <w:pPr>
        <w:tabs>
          <w:tab w:val="left" w:pos="2127"/>
        </w:tabs>
        <w:spacing w:before="120"/>
        <w:outlineLvl w:val="0"/>
        <w:rPr>
          <w:rFonts w:eastAsia="Calibri" w:cs="Times New Roman"/>
          <w:bCs/>
          <w:color w:val="4288C8"/>
          <w:sz w:val="22"/>
          <w:szCs w:val="22"/>
        </w:rPr>
      </w:pPr>
      <w:r w:rsidRPr="00BF303F">
        <w:rPr>
          <w:rFonts w:eastAsia="Calibri" w:cs="Times New Roman"/>
          <w:bCs/>
          <w:color w:val="4288C8"/>
          <w:sz w:val="22"/>
          <w:szCs w:val="22"/>
        </w:rPr>
        <w:t xml:space="preserve">In particular, the CVA scope extension to Fair Value </w:t>
      </w:r>
      <w:r>
        <w:rPr>
          <w:rFonts w:eastAsia="Calibri" w:cs="Times New Roman"/>
          <w:bCs/>
          <w:color w:val="4288C8"/>
          <w:sz w:val="22"/>
          <w:szCs w:val="22"/>
        </w:rPr>
        <w:t xml:space="preserve">(FV) </w:t>
      </w:r>
      <w:r w:rsidRPr="00BF303F">
        <w:rPr>
          <w:rFonts w:eastAsia="Calibri" w:cs="Times New Roman"/>
          <w:bCs/>
          <w:color w:val="4288C8"/>
          <w:sz w:val="22"/>
          <w:szCs w:val="22"/>
        </w:rPr>
        <w:t>S</w:t>
      </w:r>
      <w:r>
        <w:rPr>
          <w:rFonts w:eastAsia="Calibri" w:cs="Times New Roman"/>
          <w:bCs/>
          <w:color w:val="4288C8"/>
          <w:sz w:val="22"/>
          <w:szCs w:val="22"/>
        </w:rPr>
        <w:t xml:space="preserve">ecurities </w:t>
      </w:r>
      <w:r w:rsidRPr="00BF303F">
        <w:rPr>
          <w:rFonts w:eastAsia="Calibri" w:cs="Times New Roman"/>
          <w:bCs/>
          <w:color w:val="4288C8"/>
          <w:sz w:val="22"/>
          <w:szCs w:val="22"/>
        </w:rPr>
        <w:t>F</w:t>
      </w:r>
      <w:r>
        <w:rPr>
          <w:rFonts w:eastAsia="Calibri" w:cs="Times New Roman"/>
          <w:bCs/>
          <w:color w:val="4288C8"/>
          <w:sz w:val="22"/>
          <w:szCs w:val="22"/>
        </w:rPr>
        <w:t>inancing Transactions (SFTs)</w:t>
      </w:r>
      <w:r w:rsidRPr="00BF303F">
        <w:rPr>
          <w:rFonts w:eastAsia="Calibri" w:cs="Times New Roman"/>
          <w:bCs/>
          <w:color w:val="4288C8"/>
          <w:sz w:val="22"/>
          <w:szCs w:val="22"/>
        </w:rPr>
        <w:t xml:space="preserve"> is disproportionate. FV CVA is not relevant when trading SFTs and no accounting adjustments for CVA are applicable. Moreover, the scope extension is inconsistent with other capital measures: FRTB CVA allows for the exemption of FV SFTs subject </w:t>
      </w:r>
      <w:r w:rsidR="00F205D3" w:rsidRPr="00BF303F">
        <w:rPr>
          <w:rFonts w:eastAsia="Calibri" w:cs="Times New Roman"/>
          <w:bCs/>
          <w:color w:val="4288C8"/>
          <w:sz w:val="22"/>
          <w:szCs w:val="22"/>
        </w:rPr>
        <w:t>to materiality</w:t>
      </w:r>
      <w:r w:rsidRPr="00BF303F">
        <w:rPr>
          <w:rFonts w:eastAsia="Calibri" w:cs="Times New Roman"/>
          <w:bCs/>
          <w:color w:val="4288C8"/>
          <w:sz w:val="22"/>
          <w:szCs w:val="22"/>
        </w:rPr>
        <w:t xml:space="preserve"> considerations. US NPR exempts all SFTs and UK PRA significantly limits the scope. Therefore, the CVA scope should not be extended.</w:t>
      </w:r>
    </w:p>
    <w:p w14:paraId="731F49DC" w14:textId="6EAE8FCB" w:rsidR="00BF303F" w:rsidRPr="00BF303F" w:rsidRDefault="00BF303F" w:rsidP="00BF303F">
      <w:pPr>
        <w:tabs>
          <w:tab w:val="left" w:pos="2127"/>
        </w:tabs>
        <w:spacing w:before="120"/>
        <w:outlineLvl w:val="0"/>
        <w:rPr>
          <w:rFonts w:eastAsia="Calibri" w:cs="Times New Roman"/>
          <w:bCs/>
          <w:color w:val="4288C8"/>
          <w:sz w:val="22"/>
          <w:szCs w:val="22"/>
        </w:rPr>
      </w:pPr>
      <w:r w:rsidRPr="00BF303F">
        <w:rPr>
          <w:rFonts w:eastAsia="Calibri" w:cs="Times New Roman"/>
          <w:bCs/>
          <w:color w:val="4288C8"/>
          <w:sz w:val="22"/>
          <w:szCs w:val="22"/>
        </w:rPr>
        <w:t xml:space="preserve">Also, the alignment of the MPOR to be used with </w:t>
      </w:r>
      <w:r w:rsidR="00F66012">
        <w:rPr>
          <w:rFonts w:eastAsia="Calibri" w:cs="Times New Roman"/>
          <w:bCs/>
          <w:color w:val="4288C8"/>
          <w:sz w:val="22"/>
          <w:szCs w:val="22"/>
        </w:rPr>
        <w:t xml:space="preserve">the </w:t>
      </w:r>
      <w:r w:rsidRPr="00BF303F">
        <w:rPr>
          <w:rFonts w:eastAsia="Calibri" w:cs="Times New Roman"/>
          <w:bCs/>
          <w:color w:val="4288C8"/>
          <w:sz w:val="22"/>
          <w:szCs w:val="22"/>
        </w:rPr>
        <w:t>regulatory</w:t>
      </w:r>
      <w:r w:rsidR="004F4766">
        <w:rPr>
          <w:rFonts w:eastAsia="Calibri" w:cs="Times New Roman"/>
          <w:bCs/>
          <w:color w:val="4288C8"/>
          <w:sz w:val="22"/>
          <w:szCs w:val="22"/>
        </w:rPr>
        <w:t xml:space="preserve"> one</w:t>
      </w:r>
      <w:r w:rsidRPr="00BF303F">
        <w:rPr>
          <w:rFonts w:eastAsia="Calibri" w:cs="Times New Roman"/>
          <w:bCs/>
          <w:color w:val="4288C8"/>
          <w:sz w:val="22"/>
          <w:szCs w:val="22"/>
        </w:rPr>
        <w:t xml:space="preserve"> is inappropriate and will lead to unjustified additional conservatism.  There is no evidence corroborating such an alignment. Moreover, it </w:t>
      </w:r>
      <w:r w:rsidR="00F205D3" w:rsidRPr="00BF303F">
        <w:rPr>
          <w:rFonts w:eastAsia="Calibri" w:cs="Times New Roman"/>
          <w:bCs/>
          <w:color w:val="4288C8"/>
          <w:sz w:val="22"/>
          <w:szCs w:val="22"/>
        </w:rPr>
        <w:t>is inconsistent</w:t>
      </w:r>
      <w:r w:rsidRPr="00BF303F">
        <w:rPr>
          <w:rFonts w:eastAsia="Calibri" w:cs="Times New Roman"/>
          <w:bCs/>
          <w:color w:val="4288C8"/>
          <w:sz w:val="22"/>
          <w:szCs w:val="22"/>
        </w:rPr>
        <w:t xml:space="preserve"> </w:t>
      </w:r>
      <w:r w:rsidR="00FD0F54" w:rsidRPr="00BF303F">
        <w:rPr>
          <w:rFonts w:eastAsia="Calibri" w:cs="Times New Roman"/>
          <w:bCs/>
          <w:color w:val="4288C8"/>
          <w:sz w:val="22"/>
          <w:szCs w:val="22"/>
        </w:rPr>
        <w:t>with</w:t>
      </w:r>
      <w:r w:rsidRPr="00BF303F">
        <w:rPr>
          <w:rFonts w:eastAsia="Calibri" w:cs="Times New Roman"/>
          <w:bCs/>
          <w:color w:val="4288C8"/>
          <w:sz w:val="22"/>
          <w:szCs w:val="22"/>
        </w:rPr>
        <w:t xml:space="preserve"> the definition of the prudent value: </w:t>
      </w:r>
    </w:p>
    <w:p w14:paraId="126165F9" w14:textId="77777777" w:rsidR="00BF303F" w:rsidRPr="00BF303F" w:rsidRDefault="00BF303F" w:rsidP="00BF303F">
      <w:pPr>
        <w:tabs>
          <w:tab w:val="left" w:pos="2127"/>
        </w:tabs>
        <w:spacing w:before="120"/>
        <w:outlineLvl w:val="0"/>
        <w:rPr>
          <w:rFonts w:eastAsia="Calibri" w:cs="Times New Roman"/>
          <w:bCs/>
          <w:color w:val="4288C8"/>
          <w:sz w:val="22"/>
          <w:szCs w:val="22"/>
        </w:rPr>
      </w:pPr>
      <w:r w:rsidRPr="00BF303F">
        <w:rPr>
          <w:rFonts w:eastAsia="Calibri" w:cs="Times New Roman"/>
          <w:bCs/>
          <w:color w:val="4288C8"/>
          <w:sz w:val="22"/>
          <w:szCs w:val="22"/>
        </w:rPr>
        <w:t xml:space="preserve">„[…] the value at which institutions are 90% confident that they will exit a position based on the applicable market conditions at the time of the assessment[…]” </w:t>
      </w:r>
    </w:p>
    <w:p w14:paraId="3D91CE69" w14:textId="77777777" w:rsidR="00BF303F" w:rsidRPr="00BF303F" w:rsidRDefault="00BF303F" w:rsidP="00BF303F">
      <w:pPr>
        <w:tabs>
          <w:tab w:val="left" w:pos="2127"/>
        </w:tabs>
        <w:spacing w:before="120"/>
        <w:outlineLvl w:val="0"/>
        <w:rPr>
          <w:rFonts w:eastAsia="Calibri" w:cs="Times New Roman"/>
          <w:bCs/>
          <w:color w:val="4288C8"/>
          <w:sz w:val="22"/>
          <w:szCs w:val="22"/>
        </w:rPr>
      </w:pPr>
      <w:r w:rsidRPr="00BF303F">
        <w:rPr>
          <w:rFonts w:eastAsia="Calibri" w:cs="Times New Roman"/>
          <w:bCs/>
          <w:color w:val="4288C8"/>
          <w:sz w:val="22"/>
          <w:szCs w:val="22"/>
        </w:rPr>
        <w:t>Using a floored MPOR in in contradiction to applicable market conditions and adds a further layer of conservatism that is also not justified from a conceptual point of view in our opinion.</w:t>
      </w:r>
    </w:p>
    <w:p w14:paraId="75B414F7" w14:textId="084DB6DE" w:rsidR="00BF303F" w:rsidRDefault="00BF303F" w:rsidP="00BF303F">
      <w:pPr>
        <w:tabs>
          <w:tab w:val="left" w:pos="2127"/>
        </w:tabs>
        <w:spacing w:before="120"/>
        <w:outlineLvl w:val="0"/>
        <w:rPr>
          <w:rFonts w:eastAsia="Calibri" w:cs="Times New Roman"/>
          <w:bCs/>
          <w:color w:val="4288C8"/>
          <w:sz w:val="22"/>
          <w:szCs w:val="22"/>
        </w:rPr>
      </w:pPr>
      <w:r w:rsidRPr="00BF303F">
        <w:rPr>
          <w:rFonts w:eastAsia="Calibri" w:cs="Times New Roman"/>
          <w:bCs/>
          <w:color w:val="4288C8"/>
          <w:sz w:val="22"/>
          <w:szCs w:val="22"/>
        </w:rPr>
        <w:t xml:space="preserve">Another driver of unjustified operational burden is the </w:t>
      </w:r>
      <w:r w:rsidR="00FD0F54" w:rsidRPr="00BF303F">
        <w:rPr>
          <w:rFonts w:eastAsia="Calibri" w:cs="Times New Roman"/>
          <w:bCs/>
          <w:color w:val="4288C8"/>
          <w:sz w:val="22"/>
          <w:szCs w:val="22"/>
        </w:rPr>
        <w:t>requirement</w:t>
      </w:r>
      <w:r w:rsidRPr="00BF303F">
        <w:rPr>
          <w:rFonts w:eastAsia="Calibri" w:cs="Times New Roman"/>
          <w:bCs/>
          <w:color w:val="4288C8"/>
          <w:sz w:val="22"/>
          <w:szCs w:val="22"/>
        </w:rPr>
        <w:t xml:space="preserve"> to take into account CVA correlations due to the prescribed granularity of application, without a necessarily meaningful change in outcomes. This </w:t>
      </w:r>
      <w:r w:rsidR="00FD0F54" w:rsidRPr="00BF303F">
        <w:rPr>
          <w:rFonts w:eastAsia="Calibri" w:cs="Times New Roman"/>
          <w:bCs/>
          <w:color w:val="4288C8"/>
          <w:sz w:val="22"/>
          <w:szCs w:val="22"/>
        </w:rPr>
        <w:t>requirement</w:t>
      </w:r>
      <w:r w:rsidRPr="00BF303F">
        <w:rPr>
          <w:rFonts w:eastAsia="Calibri" w:cs="Times New Roman"/>
          <w:bCs/>
          <w:color w:val="4288C8"/>
          <w:sz w:val="22"/>
          <w:szCs w:val="22"/>
        </w:rPr>
        <w:t xml:space="preserve"> should be dropped as well.</w:t>
      </w:r>
    </w:p>
    <w:p w14:paraId="6EAFB198" w14:textId="3CE69A23" w:rsidR="00CD4B56" w:rsidRPr="00CD4B56" w:rsidRDefault="00CD4B56" w:rsidP="00CD4B56">
      <w:pPr>
        <w:tabs>
          <w:tab w:val="left" w:pos="2127"/>
        </w:tabs>
        <w:spacing w:before="120"/>
        <w:outlineLvl w:val="0"/>
        <w:rPr>
          <w:rFonts w:eastAsia="Calibri" w:cs="Times New Roman"/>
          <w:bCs/>
          <w:color w:val="4288C8"/>
          <w:sz w:val="22"/>
          <w:szCs w:val="22"/>
        </w:rPr>
      </w:pPr>
      <w:r w:rsidRPr="00CD4B56">
        <w:rPr>
          <w:rFonts w:eastAsia="Calibri" w:cs="Times New Roman"/>
          <w:bCs/>
          <w:color w:val="4288C8"/>
          <w:sz w:val="22"/>
          <w:szCs w:val="22"/>
        </w:rPr>
        <w:t xml:space="preserve">In article 12 paragraph 4, the requirement to set the margin period of risk to be equal or greater than that employed for the purposes of determining the own funds requirements for CVA risk </w:t>
      </w:r>
      <w:r>
        <w:rPr>
          <w:rFonts w:eastAsia="Calibri" w:cs="Times New Roman"/>
          <w:bCs/>
          <w:color w:val="4288C8"/>
          <w:sz w:val="22"/>
          <w:szCs w:val="22"/>
        </w:rPr>
        <w:t>might</w:t>
      </w:r>
      <w:r w:rsidRPr="00CD4B56">
        <w:rPr>
          <w:rFonts w:eastAsia="Calibri" w:cs="Times New Roman"/>
          <w:bCs/>
          <w:color w:val="4288C8"/>
          <w:sz w:val="22"/>
          <w:szCs w:val="22"/>
        </w:rPr>
        <w:t xml:space="preserve"> create a double count of capital requirement. If there is a default, there is indeed a value slippage risk leading to insufficient collateral posted leading to a real counterparty risk. However, at the current date when default has not</w:t>
      </w:r>
      <w:r>
        <w:rPr>
          <w:rFonts w:eastAsia="Calibri" w:cs="Times New Roman"/>
          <w:bCs/>
          <w:color w:val="4288C8"/>
          <w:sz w:val="22"/>
          <w:szCs w:val="22"/>
        </w:rPr>
        <w:t xml:space="preserve"> been</w:t>
      </w:r>
      <w:r w:rsidRPr="00CD4B56">
        <w:rPr>
          <w:rFonts w:eastAsia="Calibri" w:cs="Times New Roman"/>
          <w:bCs/>
          <w:color w:val="4288C8"/>
          <w:sz w:val="22"/>
          <w:szCs w:val="22"/>
        </w:rPr>
        <w:t xml:space="preserve"> materialised, valuation is about the purchasing price offered by a willing market participant. Default risk is rarely considered in the interbank market for fully collateralised derivatives or S</w:t>
      </w:r>
      <w:r w:rsidR="00CD723B">
        <w:rPr>
          <w:rFonts w:eastAsia="Calibri" w:cs="Times New Roman"/>
          <w:bCs/>
          <w:color w:val="4288C8"/>
          <w:sz w:val="22"/>
          <w:szCs w:val="22"/>
        </w:rPr>
        <w:t xml:space="preserve">ecurities </w:t>
      </w:r>
      <w:r w:rsidRPr="00CD4B56">
        <w:rPr>
          <w:rFonts w:eastAsia="Calibri" w:cs="Times New Roman"/>
          <w:bCs/>
          <w:color w:val="4288C8"/>
          <w:sz w:val="22"/>
          <w:szCs w:val="22"/>
        </w:rPr>
        <w:t>F</w:t>
      </w:r>
      <w:r w:rsidR="00CD723B">
        <w:rPr>
          <w:rFonts w:eastAsia="Calibri" w:cs="Times New Roman"/>
          <w:bCs/>
          <w:color w:val="4288C8"/>
          <w:sz w:val="22"/>
          <w:szCs w:val="22"/>
        </w:rPr>
        <w:t xml:space="preserve">inancing </w:t>
      </w:r>
      <w:r w:rsidRPr="00CD4B56">
        <w:rPr>
          <w:rFonts w:eastAsia="Calibri" w:cs="Times New Roman"/>
          <w:bCs/>
          <w:color w:val="4288C8"/>
          <w:sz w:val="22"/>
          <w:szCs w:val="22"/>
        </w:rPr>
        <w:t>T</w:t>
      </w:r>
      <w:r w:rsidR="00CD723B">
        <w:rPr>
          <w:rFonts w:eastAsia="Calibri" w:cs="Times New Roman"/>
          <w:bCs/>
          <w:color w:val="4288C8"/>
          <w:sz w:val="22"/>
          <w:szCs w:val="22"/>
        </w:rPr>
        <w:t>ransactions</w:t>
      </w:r>
      <w:r w:rsidRPr="00CD4B56">
        <w:rPr>
          <w:rFonts w:eastAsia="Calibri" w:cs="Times New Roman"/>
          <w:bCs/>
          <w:color w:val="4288C8"/>
          <w:sz w:val="22"/>
          <w:szCs w:val="22"/>
        </w:rPr>
        <w:t>.</w:t>
      </w:r>
    </w:p>
    <w:p w14:paraId="3DA5B273" w14:textId="69BBFE91" w:rsidR="00644DDC" w:rsidRPr="00CD4B56" w:rsidRDefault="00CD4B56" w:rsidP="00CD4B56">
      <w:pPr>
        <w:tabs>
          <w:tab w:val="left" w:pos="2127"/>
        </w:tabs>
        <w:spacing w:before="120"/>
        <w:outlineLvl w:val="0"/>
        <w:rPr>
          <w:rFonts w:eastAsia="Calibri" w:cs="Times New Roman"/>
          <w:bCs/>
          <w:color w:val="4288C8"/>
          <w:sz w:val="22"/>
          <w:szCs w:val="22"/>
        </w:rPr>
      </w:pPr>
      <w:r w:rsidRPr="00CD4B56">
        <w:rPr>
          <w:rFonts w:eastAsia="Calibri" w:cs="Times New Roman"/>
          <w:bCs/>
          <w:color w:val="4288C8"/>
          <w:sz w:val="22"/>
          <w:szCs w:val="22"/>
        </w:rPr>
        <w:t>As correlations between risk factors used for the risk factor diffusion are usually not hedgeable and often calibrated historically, clarifications on what kind of AVA is expected for such risk factor (MPU, COC, MR, CP) would be welcome by the industry</w:t>
      </w:r>
      <w:r w:rsidR="00CD723B">
        <w:rPr>
          <w:rFonts w:eastAsia="Calibri" w:cs="Times New Roman"/>
          <w:bCs/>
          <w:color w:val="4288C8"/>
          <w:sz w:val="22"/>
          <w:szCs w:val="22"/>
        </w:rPr>
        <w:t>.</w:t>
      </w:r>
    </w:p>
    <w:p w14:paraId="72F8617E" w14:textId="77777777" w:rsidR="00644DDC" w:rsidRDefault="00644DDC" w:rsidP="005B7427">
      <w:pPr>
        <w:tabs>
          <w:tab w:val="left" w:pos="2127"/>
        </w:tabs>
        <w:spacing w:before="120"/>
        <w:outlineLvl w:val="0"/>
        <w:rPr>
          <w:rFonts w:eastAsia="Calibri" w:cs="Times New Roman"/>
          <w:bCs/>
          <w:color w:val="4288C8"/>
          <w:szCs w:val="20"/>
        </w:rPr>
      </w:pPr>
    </w:p>
    <w:p w14:paraId="7F4AD292" w14:textId="15EFD128" w:rsidR="00CD723B" w:rsidRPr="00CD723B" w:rsidRDefault="00CD723B" w:rsidP="00CD723B">
      <w:pPr>
        <w:tabs>
          <w:tab w:val="left" w:pos="2127"/>
        </w:tabs>
        <w:spacing w:before="120"/>
        <w:outlineLvl w:val="0"/>
        <w:rPr>
          <w:rFonts w:eastAsia="Calibri" w:cs="Times New Roman"/>
          <w:b/>
          <w:color w:val="4288C8"/>
          <w:szCs w:val="20"/>
        </w:rPr>
      </w:pPr>
      <w:r w:rsidRPr="00CD723B">
        <w:rPr>
          <w:rFonts w:eastAsia="Calibri" w:cs="Times New Roman"/>
          <w:b/>
          <w:color w:val="4288C8"/>
          <w:szCs w:val="20"/>
        </w:rPr>
        <w:t>Question 10. CP and FAC - Articles 14, 15</w:t>
      </w:r>
    </w:p>
    <w:p w14:paraId="026C2A34" w14:textId="2C37A168" w:rsidR="00CD723B" w:rsidRPr="00CD723B" w:rsidRDefault="00CD723B" w:rsidP="00CD723B">
      <w:pPr>
        <w:tabs>
          <w:tab w:val="left" w:pos="2127"/>
        </w:tabs>
        <w:spacing w:before="120"/>
        <w:outlineLvl w:val="0"/>
        <w:rPr>
          <w:rFonts w:eastAsia="Calibri" w:cs="Times New Roman"/>
          <w:bCs/>
          <w:color w:val="4288C8"/>
          <w:szCs w:val="20"/>
        </w:rPr>
      </w:pPr>
      <w:r w:rsidRPr="00CD723B">
        <w:rPr>
          <w:rFonts w:eastAsia="Calibri" w:cs="Times New Roman"/>
          <w:bCs/>
          <w:i/>
          <w:iCs/>
          <w:color w:val="4288C8"/>
          <w:szCs w:val="20"/>
        </w:rPr>
        <w:t>Do you have any comments with regard to the amendments to Article 14 and 15? If you do not agree with the amendments, please describe how you would adjust or design the requirements to meet the policy objectives that the amendments try to achieve. When giving your answer, please provide the rationale and relevant evidence supporting your proposal</w:t>
      </w:r>
      <w:r w:rsidRPr="00CD723B">
        <w:rPr>
          <w:rFonts w:eastAsia="Calibri" w:cs="Times New Roman"/>
          <w:bCs/>
          <w:color w:val="4288C8"/>
          <w:szCs w:val="20"/>
        </w:rPr>
        <w:t>.</w:t>
      </w:r>
    </w:p>
    <w:p w14:paraId="14242858" w14:textId="793B149C" w:rsidR="00CD723B" w:rsidRPr="00CD723B" w:rsidRDefault="00CD723B" w:rsidP="00CD723B">
      <w:pPr>
        <w:tabs>
          <w:tab w:val="left" w:pos="2127"/>
        </w:tabs>
        <w:spacing w:before="120"/>
        <w:outlineLvl w:val="0"/>
        <w:rPr>
          <w:rFonts w:eastAsia="Calibri" w:cs="Times New Roman"/>
          <w:bCs/>
          <w:color w:val="4288C8"/>
          <w:sz w:val="22"/>
          <w:szCs w:val="22"/>
        </w:rPr>
      </w:pPr>
      <w:r w:rsidRPr="00CD723B">
        <w:rPr>
          <w:rFonts w:eastAsia="Calibri" w:cs="Times New Roman"/>
          <w:bCs/>
          <w:color w:val="4288C8"/>
          <w:sz w:val="22"/>
          <w:szCs w:val="22"/>
        </w:rPr>
        <w:lastRenderedPageBreak/>
        <w:t xml:space="preserve">In article 14, the use of the liquidity horizon set by </w:t>
      </w:r>
      <w:r w:rsidR="007134B5" w:rsidRPr="007134B5">
        <w:rPr>
          <w:rFonts w:eastAsia="Calibri" w:cs="Times New Roman"/>
          <w:b/>
          <w:color w:val="4288C8"/>
          <w:sz w:val="22"/>
          <w:szCs w:val="22"/>
          <w:u w:val="single"/>
        </w:rPr>
        <w:t>A</w:t>
      </w:r>
      <w:r w:rsidRPr="007134B5">
        <w:rPr>
          <w:rFonts w:eastAsia="Calibri" w:cs="Times New Roman"/>
          <w:b/>
          <w:color w:val="4288C8"/>
          <w:sz w:val="22"/>
          <w:szCs w:val="22"/>
          <w:u w:val="single"/>
        </w:rPr>
        <w:t>rticle 325 bd of CRR</w:t>
      </w:r>
      <w:r w:rsidRPr="00CD723B">
        <w:rPr>
          <w:rFonts w:eastAsia="Calibri" w:cs="Times New Roman"/>
          <w:bCs/>
          <w:color w:val="4288C8"/>
          <w:sz w:val="22"/>
          <w:szCs w:val="22"/>
        </w:rPr>
        <w:t xml:space="preserve"> below which no concentrated position AVA is required is a welcome amendment that compensate for increased market risk charge when liquidity horizon is longer for less liquid risk factors and avoid double counts.</w:t>
      </w:r>
    </w:p>
    <w:p w14:paraId="253C48F3" w14:textId="13301BF3" w:rsidR="00CD723B" w:rsidRPr="00CD723B" w:rsidRDefault="00CD723B" w:rsidP="00CD723B">
      <w:pPr>
        <w:tabs>
          <w:tab w:val="left" w:pos="2127"/>
        </w:tabs>
        <w:spacing w:before="120"/>
        <w:outlineLvl w:val="0"/>
        <w:rPr>
          <w:rFonts w:eastAsia="Calibri" w:cs="Times New Roman"/>
          <w:bCs/>
          <w:color w:val="4288C8"/>
          <w:sz w:val="22"/>
          <w:szCs w:val="22"/>
        </w:rPr>
      </w:pPr>
      <w:r w:rsidRPr="00CD723B">
        <w:rPr>
          <w:rFonts w:eastAsia="Calibri" w:cs="Times New Roman"/>
          <w:bCs/>
          <w:color w:val="4288C8"/>
          <w:sz w:val="22"/>
          <w:szCs w:val="22"/>
        </w:rPr>
        <w:t>This amendment is consistent with the 2013 EBA CP on prudent valuation that stated “</w:t>
      </w:r>
      <w:r w:rsidRPr="00CD723B">
        <w:rPr>
          <w:rFonts w:eastAsia="Calibri" w:cs="Times New Roman"/>
          <w:bCs/>
          <w:i/>
          <w:iCs/>
          <w:color w:val="4288C8"/>
          <w:sz w:val="22"/>
          <w:szCs w:val="22"/>
        </w:rPr>
        <w:t>Concentrated positions AVA is only required where the prudent exit period exceeds the time horizon for the market risk measure used to calculate own funds requirements as defined in Article 365 of Regulation (EU) 575/2013</w:t>
      </w:r>
      <w:r w:rsidRPr="00CD723B">
        <w:rPr>
          <w:rFonts w:eastAsia="Calibri" w:cs="Times New Roman"/>
          <w:bCs/>
          <w:color w:val="4288C8"/>
          <w:sz w:val="22"/>
          <w:szCs w:val="22"/>
        </w:rPr>
        <w:t>.”</w:t>
      </w:r>
    </w:p>
    <w:p w14:paraId="78210595" w14:textId="21D42DCD" w:rsidR="007134B5" w:rsidRPr="007134B5" w:rsidRDefault="007134B5" w:rsidP="007134B5">
      <w:pPr>
        <w:tabs>
          <w:tab w:val="left" w:pos="2127"/>
        </w:tabs>
        <w:spacing w:before="120"/>
        <w:outlineLvl w:val="0"/>
        <w:rPr>
          <w:rFonts w:eastAsia="Calibri" w:cs="Times New Roman"/>
          <w:bCs/>
          <w:color w:val="4288C8"/>
          <w:sz w:val="22"/>
          <w:szCs w:val="22"/>
        </w:rPr>
      </w:pPr>
      <w:r w:rsidRPr="007134B5">
        <w:rPr>
          <w:rFonts w:eastAsia="Calibri" w:cs="Times New Roman"/>
          <w:bCs/>
          <w:color w:val="4288C8"/>
          <w:sz w:val="22"/>
          <w:szCs w:val="22"/>
        </w:rPr>
        <w:t>Referring to Article 14.1.(c) “</w:t>
      </w:r>
      <w:r w:rsidRPr="007134B5">
        <w:rPr>
          <w:rFonts w:eastAsia="Calibri" w:cs="Times New Roman"/>
          <w:bCs/>
          <w:i/>
          <w:iCs/>
          <w:color w:val="4288C8"/>
          <w:sz w:val="22"/>
          <w:szCs w:val="22"/>
        </w:rPr>
        <w:t>where the prudent exit period exceeds the liquidity horizons that are assigned to the valuation inputs of the position in accordance with Article 325bd of Regulation (EU) No 575/2013</w:t>
      </w:r>
      <w:r w:rsidRPr="007134B5">
        <w:rPr>
          <w:rFonts w:eastAsia="Calibri" w:cs="Times New Roman"/>
          <w:bCs/>
          <w:color w:val="4288C8"/>
          <w:sz w:val="22"/>
          <w:szCs w:val="22"/>
        </w:rPr>
        <w:t xml:space="preserve">”,  </w:t>
      </w:r>
      <w:r w:rsidRPr="007134B5">
        <w:rPr>
          <w:rFonts w:eastAsia="Calibri" w:cs="Times New Roman"/>
          <w:b/>
          <w:color w:val="4288C8"/>
          <w:sz w:val="22"/>
          <w:szCs w:val="22"/>
          <w:u w:val="single"/>
        </w:rPr>
        <w:t>Article 325bd of CRR</w:t>
      </w:r>
      <w:r>
        <w:rPr>
          <w:rFonts w:eastAsia="Calibri" w:cs="Times New Roman"/>
          <w:bCs/>
          <w:color w:val="4288C8"/>
          <w:sz w:val="22"/>
          <w:szCs w:val="22"/>
        </w:rPr>
        <w:t xml:space="preserve"> </w:t>
      </w:r>
      <w:r w:rsidRPr="007134B5">
        <w:rPr>
          <w:rFonts w:eastAsia="Calibri" w:cs="Times New Roman"/>
          <w:bCs/>
          <w:color w:val="4288C8"/>
          <w:sz w:val="22"/>
          <w:szCs w:val="22"/>
        </w:rPr>
        <w:t xml:space="preserve">requires banks to map each risk factor assigned to the trading desk for which they have been granted permission as referred to in Article 325az(2), i.e. FRTB IMA models, and prescribes the liquidity horizons for the risk factors. </w:t>
      </w:r>
      <w:r>
        <w:rPr>
          <w:rFonts w:eastAsia="Calibri" w:cs="Times New Roman"/>
          <w:bCs/>
          <w:color w:val="4288C8"/>
          <w:sz w:val="22"/>
          <w:szCs w:val="22"/>
        </w:rPr>
        <w:t>We would gladly welcome from the</w:t>
      </w:r>
      <w:r w:rsidRPr="007134B5">
        <w:rPr>
          <w:rFonts w:eastAsia="Calibri" w:cs="Times New Roman"/>
          <w:bCs/>
          <w:color w:val="4288C8"/>
          <w:sz w:val="22"/>
          <w:szCs w:val="22"/>
        </w:rPr>
        <w:t xml:space="preserve"> EBA </w:t>
      </w:r>
      <w:r>
        <w:rPr>
          <w:rFonts w:eastAsia="Calibri" w:cs="Times New Roman"/>
          <w:bCs/>
          <w:color w:val="4288C8"/>
          <w:sz w:val="22"/>
          <w:szCs w:val="22"/>
        </w:rPr>
        <w:t>a clarification</w:t>
      </w:r>
      <w:r w:rsidRPr="007134B5">
        <w:rPr>
          <w:rFonts w:eastAsia="Calibri" w:cs="Times New Roman"/>
          <w:bCs/>
          <w:color w:val="4288C8"/>
          <w:sz w:val="22"/>
          <w:szCs w:val="22"/>
        </w:rPr>
        <w:t xml:space="preserve"> whether these liquidity horizons shall be considered for CP AVA by an institution adopting FRTB SA only? </w:t>
      </w:r>
    </w:p>
    <w:p w14:paraId="25E02542" w14:textId="13CDF65E" w:rsidR="007134B5" w:rsidRPr="007134B5" w:rsidRDefault="007134B5" w:rsidP="007134B5">
      <w:pPr>
        <w:tabs>
          <w:tab w:val="left" w:pos="2127"/>
        </w:tabs>
        <w:spacing w:before="120"/>
        <w:outlineLvl w:val="0"/>
        <w:rPr>
          <w:rFonts w:eastAsia="Calibri" w:cs="Times New Roman"/>
          <w:bCs/>
          <w:color w:val="4288C8"/>
          <w:sz w:val="22"/>
          <w:szCs w:val="22"/>
        </w:rPr>
      </w:pPr>
      <w:r w:rsidRPr="007134B5">
        <w:rPr>
          <w:rFonts w:eastAsia="Calibri" w:cs="Times New Roman"/>
          <w:bCs/>
          <w:color w:val="4288C8"/>
          <w:sz w:val="22"/>
          <w:szCs w:val="22"/>
        </w:rPr>
        <w:t>The reference to the trading desk liquidity horizon seem</w:t>
      </w:r>
      <w:r>
        <w:rPr>
          <w:rFonts w:eastAsia="Calibri" w:cs="Times New Roman"/>
          <w:bCs/>
          <w:color w:val="4288C8"/>
          <w:sz w:val="22"/>
          <w:szCs w:val="22"/>
        </w:rPr>
        <w:t>s</w:t>
      </w:r>
      <w:r w:rsidRPr="007134B5">
        <w:rPr>
          <w:rFonts w:eastAsia="Calibri" w:cs="Times New Roman"/>
          <w:bCs/>
          <w:color w:val="4288C8"/>
          <w:sz w:val="22"/>
          <w:szCs w:val="22"/>
        </w:rPr>
        <w:t xml:space="preserve"> to suggest that the prudent exit period is only relevant to trading book positions. </w:t>
      </w:r>
      <w:r>
        <w:rPr>
          <w:rFonts w:eastAsia="Calibri" w:cs="Times New Roman"/>
          <w:bCs/>
          <w:color w:val="4288C8"/>
          <w:sz w:val="22"/>
          <w:szCs w:val="22"/>
        </w:rPr>
        <w:t>We would like to ask the</w:t>
      </w:r>
      <w:r w:rsidRPr="007134B5">
        <w:rPr>
          <w:rFonts w:eastAsia="Calibri" w:cs="Times New Roman"/>
          <w:bCs/>
          <w:color w:val="4288C8"/>
          <w:sz w:val="22"/>
          <w:szCs w:val="22"/>
        </w:rPr>
        <w:t xml:space="preserve"> EBA </w:t>
      </w:r>
      <w:r>
        <w:rPr>
          <w:rFonts w:eastAsia="Calibri" w:cs="Times New Roman"/>
          <w:bCs/>
          <w:color w:val="4288C8"/>
          <w:sz w:val="22"/>
          <w:szCs w:val="22"/>
        </w:rPr>
        <w:t xml:space="preserve">to </w:t>
      </w:r>
      <w:r w:rsidRPr="007134B5">
        <w:rPr>
          <w:rFonts w:eastAsia="Calibri" w:cs="Times New Roman"/>
          <w:bCs/>
          <w:color w:val="4288C8"/>
          <w:sz w:val="22"/>
          <w:szCs w:val="22"/>
        </w:rPr>
        <w:t xml:space="preserve">clarify whether the requirements in this </w:t>
      </w:r>
      <w:r>
        <w:rPr>
          <w:rFonts w:eastAsia="Calibri" w:cs="Times New Roman"/>
          <w:bCs/>
          <w:color w:val="4288C8"/>
          <w:sz w:val="22"/>
          <w:szCs w:val="22"/>
        </w:rPr>
        <w:t>A</w:t>
      </w:r>
      <w:r w:rsidRPr="007134B5">
        <w:rPr>
          <w:rFonts w:eastAsia="Calibri" w:cs="Times New Roman"/>
          <w:bCs/>
          <w:color w:val="4288C8"/>
          <w:sz w:val="22"/>
          <w:szCs w:val="22"/>
        </w:rPr>
        <w:t xml:space="preserve">rticle are applicable to fair value positions in the banking book, such as the fair value </w:t>
      </w:r>
      <w:r w:rsidR="007D0245">
        <w:rPr>
          <w:rFonts w:eastAsia="Calibri" w:cs="Times New Roman"/>
          <w:bCs/>
          <w:color w:val="4288C8"/>
          <w:sz w:val="22"/>
          <w:szCs w:val="22"/>
        </w:rPr>
        <w:t>illiquid loan</w:t>
      </w:r>
      <w:r w:rsidR="008522A3">
        <w:rPr>
          <w:rFonts w:eastAsia="Calibri" w:cs="Times New Roman"/>
          <w:bCs/>
          <w:color w:val="4288C8"/>
          <w:sz w:val="22"/>
          <w:szCs w:val="22"/>
        </w:rPr>
        <w:t xml:space="preserve"> </w:t>
      </w:r>
      <w:r w:rsidRPr="007134B5">
        <w:rPr>
          <w:rFonts w:eastAsia="Calibri" w:cs="Times New Roman"/>
          <w:bCs/>
          <w:color w:val="4288C8"/>
          <w:sz w:val="22"/>
          <w:szCs w:val="22"/>
        </w:rPr>
        <w:t>and equity positions in the banking book which are not capitalised under FRTB market risk framework?</w:t>
      </w:r>
    </w:p>
    <w:p w14:paraId="33A9117F" w14:textId="390F01A5" w:rsidR="007D0245" w:rsidRDefault="007134B5" w:rsidP="005B7427">
      <w:pPr>
        <w:tabs>
          <w:tab w:val="left" w:pos="2127"/>
        </w:tabs>
        <w:spacing w:before="120"/>
        <w:outlineLvl w:val="0"/>
        <w:rPr>
          <w:rFonts w:eastAsia="Calibri" w:cs="Times New Roman"/>
          <w:bCs/>
          <w:color w:val="4288C8"/>
          <w:sz w:val="22"/>
          <w:szCs w:val="22"/>
        </w:rPr>
      </w:pPr>
      <w:r w:rsidRPr="007134B5">
        <w:rPr>
          <w:rFonts w:eastAsia="Calibri" w:cs="Times New Roman"/>
          <w:bCs/>
          <w:color w:val="4288C8"/>
          <w:sz w:val="22"/>
          <w:szCs w:val="22"/>
        </w:rPr>
        <w:t xml:space="preserve">Moreover, taking into account that cut-off levels of prudent exit period are aligned with the liquidity horizon prescribed by IMA </w:t>
      </w:r>
      <w:proofErr w:type="spellStart"/>
      <w:r w:rsidRPr="007134B5">
        <w:rPr>
          <w:rFonts w:eastAsia="Calibri" w:cs="Times New Roman"/>
          <w:bCs/>
          <w:color w:val="4288C8"/>
          <w:sz w:val="22"/>
          <w:szCs w:val="22"/>
        </w:rPr>
        <w:t>VaR</w:t>
      </w:r>
      <w:proofErr w:type="spellEnd"/>
      <w:r w:rsidRPr="007134B5">
        <w:rPr>
          <w:rFonts w:eastAsia="Calibri" w:cs="Times New Roman"/>
          <w:bCs/>
          <w:color w:val="4288C8"/>
          <w:sz w:val="22"/>
          <w:szCs w:val="22"/>
        </w:rPr>
        <w:t xml:space="preserve">/Expected Shortfall models for market risk capital, does EBA interpret CP AVA charge as an additional charge beyond these liquidation periods, which are not covered by </w:t>
      </w:r>
      <w:proofErr w:type="spellStart"/>
      <w:r w:rsidRPr="007134B5">
        <w:rPr>
          <w:rFonts w:eastAsia="Calibri" w:cs="Times New Roman"/>
          <w:bCs/>
          <w:color w:val="4288C8"/>
          <w:sz w:val="22"/>
          <w:szCs w:val="22"/>
        </w:rPr>
        <w:t>VaR</w:t>
      </w:r>
      <w:proofErr w:type="spellEnd"/>
      <w:r w:rsidRPr="007134B5">
        <w:rPr>
          <w:rFonts w:eastAsia="Calibri" w:cs="Times New Roman"/>
          <w:bCs/>
          <w:color w:val="4288C8"/>
          <w:sz w:val="22"/>
          <w:szCs w:val="22"/>
        </w:rPr>
        <w:t xml:space="preserve"> or Expected Shortfall when the prudent exit periods are longer? In that case, should the main driver of the charge be the market price movement of instruments/valuation inputs as in the </w:t>
      </w:r>
      <w:proofErr w:type="spellStart"/>
      <w:r w:rsidRPr="007134B5">
        <w:rPr>
          <w:rFonts w:eastAsia="Calibri" w:cs="Times New Roman"/>
          <w:bCs/>
          <w:color w:val="4288C8"/>
          <w:sz w:val="22"/>
          <w:szCs w:val="22"/>
        </w:rPr>
        <w:t>VaR</w:t>
      </w:r>
      <w:proofErr w:type="spellEnd"/>
      <w:r w:rsidRPr="007134B5">
        <w:rPr>
          <w:rFonts w:eastAsia="Calibri" w:cs="Times New Roman"/>
          <w:bCs/>
          <w:color w:val="4288C8"/>
          <w:sz w:val="22"/>
          <w:szCs w:val="22"/>
        </w:rPr>
        <w:t xml:space="preserve"> or Expected Shortfall model and not bid-offer spreads as required in Article 14.1.(c) “where the prudent exit period exceeds …, they shall estimate an AVA taking into account the volatility of the valuation input, the volatility of the bid-offer spread and the impact of the hypothetical exit strategy on market prices”?</w:t>
      </w:r>
    </w:p>
    <w:p w14:paraId="549FD772" w14:textId="2E8F5781" w:rsidR="007D0245" w:rsidRPr="007134B5" w:rsidRDefault="007D0245" w:rsidP="008522A3">
      <w:pPr>
        <w:autoSpaceDE w:val="0"/>
        <w:autoSpaceDN w:val="0"/>
        <w:adjustRightInd w:val="0"/>
        <w:rPr>
          <w:rFonts w:eastAsia="Calibri" w:cs="Times New Roman"/>
          <w:bCs/>
          <w:color w:val="4288C8"/>
          <w:sz w:val="22"/>
          <w:szCs w:val="22"/>
        </w:rPr>
      </w:pPr>
      <w:bookmarkStart w:id="4" w:name="_Hlk163733922"/>
      <w:r w:rsidRPr="008522A3">
        <w:rPr>
          <w:rFonts w:eastAsia="Calibri" w:cs="Times New Roman"/>
          <w:bCs/>
          <w:color w:val="4288C8"/>
          <w:sz w:val="22"/>
          <w:szCs w:val="22"/>
        </w:rPr>
        <w:t>While Article 14 refers to the identification and AVA calculation for concentrated valuation positions, amended Article 15.1 condition (a) requires future administrative costs (FAC) AVA for a valuation exposure where the individual MPU, COC and Concentrated Positions AVAs do not imply fully exiting the exposure. We request EBA to confirm that the identification of concentrated positions shall be aligned with the exit scenarios, where, in case of derivatives, hedges corresponding to net valuation exposures and needed to close out the relevant valuation positions shall be taken into account.</w:t>
      </w:r>
      <w:bookmarkEnd w:id="4"/>
    </w:p>
    <w:p w14:paraId="17F067E7" w14:textId="036C4075" w:rsidR="005475A4" w:rsidRDefault="007134B5" w:rsidP="007134B5">
      <w:pPr>
        <w:tabs>
          <w:tab w:val="left" w:pos="2127"/>
        </w:tabs>
        <w:spacing w:before="120"/>
        <w:outlineLvl w:val="0"/>
        <w:rPr>
          <w:rFonts w:eastAsia="Calibri" w:cs="Times New Roman"/>
          <w:bCs/>
          <w:color w:val="4288C8"/>
          <w:sz w:val="22"/>
          <w:szCs w:val="22"/>
        </w:rPr>
      </w:pPr>
      <w:r w:rsidRPr="00CD723B">
        <w:rPr>
          <w:rFonts w:eastAsia="Calibri" w:cs="Times New Roman"/>
          <w:bCs/>
          <w:color w:val="4288C8"/>
          <w:sz w:val="22"/>
          <w:szCs w:val="22"/>
        </w:rPr>
        <w:t>In article 15, the precisions added in paragraph 1 are useful but</w:t>
      </w:r>
      <w:r w:rsidR="00730099">
        <w:rPr>
          <w:rFonts w:eastAsia="Calibri" w:cs="Times New Roman"/>
          <w:bCs/>
          <w:color w:val="4288C8"/>
          <w:sz w:val="22"/>
          <w:szCs w:val="22"/>
        </w:rPr>
        <w:t>:</w:t>
      </w:r>
    </w:p>
    <w:p w14:paraId="1032EA15" w14:textId="77777777" w:rsidR="005475A4" w:rsidRPr="000843CA" w:rsidRDefault="005475A4" w:rsidP="005475A4">
      <w:pPr>
        <w:spacing w:after="0"/>
        <w:rPr>
          <w:rFonts w:eastAsia="Calibri" w:cs="Times New Roman"/>
          <w:bCs/>
          <w:color w:val="4288C8"/>
          <w:sz w:val="22"/>
          <w:szCs w:val="22"/>
        </w:rPr>
      </w:pPr>
      <w:r w:rsidRPr="008522A3">
        <w:rPr>
          <w:rFonts w:eastAsia="Calibri" w:cs="Times New Roman"/>
          <w:bCs/>
          <w:color w:val="4288C8"/>
          <w:sz w:val="22"/>
          <w:szCs w:val="22"/>
        </w:rPr>
        <w:t>- sub-paragraph 1(b) does not provide a definition of tradable instruments</w:t>
      </w:r>
    </w:p>
    <w:p w14:paraId="48611D9C" w14:textId="0A9037FB" w:rsidR="00644DDC" w:rsidRDefault="005475A4" w:rsidP="005B7427">
      <w:pPr>
        <w:tabs>
          <w:tab w:val="left" w:pos="2127"/>
        </w:tabs>
        <w:spacing w:before="120"/>
        <w:outlineLvl w:val="0"/>
        <w:rPr>
          <w:rFonts w:eastAsia="Calibri" w:cs="Times New Roman"/>
          <w:bCs/>
          <w:color w:val="4288C8"/>
          <w:szCs w:val="20"/>
          <w:lang w:val="en-US"/>
        </w:rPr>
      </w:pPr>
      <w:r>
        <w:rPr>
          <w:rFonts w:eastAsia="Calibri" w:cs="Times New Roman"/>
          <w:bCs/>
          <w:color w:val="4288C8"/>
          <w:sz w:val="22"/>
          <w:szCs w:val="22"/>
        </w:rPr>
        <w:lastRenderedPageBreak/>
        <w:t xml:space="preserve">- </w:t>
      </w:r>
      <w:r w:rsidR="007134B5" w:rsidRPr="00CD723B">
        <w:rPr>
          <w:rFonts w:eastAsia="Calibri" w:cs="Times New Roman"/>
          <w:bCs/>
          <w:color w:val="4288C8"/>
          <w:sz w:val="22"/>
          <w:szCs w:val="22"/>
        </w:rPr>
        <w:t xml:space="preserve">sub-paragraph 1(c) can </w:t>
      </w:r>
      <w:r w:rsidR="007134B5">
        <w:rPr>
          <w:rFonts w:eastAsia="Calibri" w:cs="Times New Roman"/>
          <w:bCs/>
          <w:color w:val="4288C8"/>
          <w:sz w:val="22"/>
          <w:szCs w:val="22"/>
        </w:rPr>
        <w:t>be potentially</w:t>
      </w:r>
      <w:r w:rsidR="007134B5" w:rsidRPr="00CD723B">
        <w:rPr>
          <w:rFonts w:eastAsia="Calibri" w:cs="Times New Roman"/>
          <w:bCs/>
          <w:color w:val="4288C8"/>
          <w:sz w:val="22"/>
          <w:szCs w:val="22"/>
        </w:rPr>
        <w:t xml:space="preserve"> misleading as all option positions require some form of dynamic re-hedging even when these options are actively traded and all risks could be exited with a measurable CoC, MPU and CP. There should be a precision that dynamic re-hedging to maturity of the position is the only possibility as there is no competitive market price for exit of the risk.</w:t>
      </w:r>
    </w:p>
    <w:p w14:paraId="66133705" w14:textId="3935D622" w:rsidR="007D0245" w:rsidRDefault="007D0245" w:rsidP="005B7427">
      <w:pPr>
        <w:tabs>
          <w:tab w:val="left" w:pos="2127"/>
        </w:tabs>
        <w:spacing w:before="120"/>
        <w:outlineLvl w:val="0"/>
        <w:rPr>
          <w:rFonts w:eastAsia="Calibri" w:cs="Times New Roman"/>
          <w:bCs/>
          <w:color w:val="4288C8"/>
          <w:sz w:val="22"/>
          <w:szCs w:val="22"/>
        </w:rPr>
      </w:pPr>
      <w:bookmarkStart w:id="5" w:name="_Hlk163733979"/>
      <w:r w:rsidRPr="008522A3">
        <w:rPr>
          <w:rFonts w:eastAsia="Calibri" w:cs="Times New Roman"/>
          <w:bCs/>
          <w:color w:val="4288C8"/>
          <w:sz w:val="22"/>
          <w:szCs w:val="22"/>
        </w:rPr>
        <w:t>Furthermore, it is not clear from the current RTS what “future administrative costs” refer to. To avoid misinterpretation of the article, we kindly suggest EBA to consider rewording in Article 15 paragraph 3 that “Future administrative costs refer to all incremental staffing cost, incremental fixed costs and future hedging costs that are likely to be incurred in managing the portfolio but a reduction in these costs may be assumed as the size of portfolio reduces.”</w:t>
      </w:r>
    </w:p>
    <w:p w14:paraId="1C0BC68E" w14:textId="35CA9C51" w:rsidR="00BE24D0" w:rsidRPr="008522A3" w:rsidRDefault="00BE24D0" w:rsidP="005B7427">
      <w:pPr>
        <w:tabs>
          <w:tab w:val="left" w:pos="2127"/>
        </w:tabs>
        <w:spacing w:before="120"/>
        <w:outlineLvl w:val="0"/>
        <w:rPr>
          <w:rFonts w:eastAsia="Calibri" w:cs="Times New Roman"/>
          <w:bCs/>
          <w:color w:val="4288C8"/>
          <w:sz w:val="22"/>
          <w:szCs w:val="22"/>
        </w:rPr>
      </w:pPr>
      <w:r>
        <w:rPr>
          <w:rFonts w:eastAsia="Calibri" w:cs="Times New Roman"/>
          <w:bCs/>
          <w:color w:val="4288C8"/>
          <w:sz w:val="22"/>
          <w:szCs w:val="22"/>
        </w:rPr>
        <w:t>Besides, i</w:t>
      </w:r>
      <w:r w:rsidRPr="00BE24D0">
        <w:rPr>
          <w:rFonts w:eastAsia="Calibri" w:cs="Times New Roman"/>
          <w:bCs/>
          <w:color w:val="4288C8"/>
          <w:sz w:val="22"/>
          <w:szCs w:val="22"/>
        </w:rPr>
        <w:t xml:space="preserve">n article 15, all non-linear positions are impacted, including liquid vanilla options. Additional charges will occur, even if the back-testing of Prudent Valuation charges is successful. In addition to that, the discounting rate will be disconnected from the cost of capital, </w:t>
      </w:r>
      <w:r w:rsidR="00A5027F">
        <w:rPr>
          <w:rFonts w:eastAsia="Calibri" w:cs="Times New Roman"/>
          <w:bCs/>
          <w:color w:val="4288C8"/>
          <w:sz w:val="22"/>
          <w:szCs w:val="22"/>
        </w:rPr>
        <w:t>w</w:t>
      </w:r>
      <w:r w:rsidRPr="00BE24D0">
        <w:rPr>
          <w:rFonts w:eastAsia="Calibri" w:cs="Times New Roman"/>
          <w:bCs/>
          <w:color w:val="4288C8"/>
          <w:sz w:val="22"/>
          <w:szCs w:val="22"/>
        </w:rPr>
        <w:t>e suggest remov</w:t>
      </w:r>
      <w:r w:rsidR="00A5027F">
        <w:rPr>
          <w:rFonts w:eastAsia="Calibri" w:cs="Times New Roman"/>
          <w:bCs/>
          <w:color w:val="4288C8"/>
          <w:sz w:val="22"/>
          <w:szCs w:val="22"/>
        </w:rPr>
        <w:t>ing</w:t>
      </w:r>
      <w:r w:rsidRPr="00BE24D0">
        <w:rPr>
          <w:rFonts w:eastAsia="Calibri" w:cs="Times New Roman"/>
          <w:bCs/>
          <w:color w:val="4288C8"/>
          <w:sz w:val="22"/>
          <w:szCs w:val="22"/>
        </w:rPr>
        <w:t xml:space="preserve"> this requirement if Prudent Valuation is successfully back-tested and to limit the application to portfolios with products that are in scope of the RRAO. Moreover, the discount rate should be linked to the cost of equity of the institution.</w:t>
      </w:r>
    </w:p>
    <w:bookmarkEnd w:id="5"/>
    <w:p w14:paraId="2E88E424" w14:textId="77777777" w:rsidR="007D0245" w:rsidRDefault="007D0245" w:rsidP="005B7427">
      <w:pPr>
        <w:tabs>
          <w:tab w:val="left" w:pos="2127"/>
        </w:tabs>
        <w:spacing w:before="120"/>
        <w:outlineLvl w:val="0"/>
        <w:rPr>
          <w:rFonts w:eastAsia="Calibri" w:cs="Times New Roman"/>
          <w:bCs/>
          <w:color w:val="4288C8"/>
          <w:szCs w:val="20"/>
          <w:lang w:val="en-US"/>
        </w:rPr>
      </w:pPr>
    </w:p>
    <w:p w14:paraId="0D399F6A" w14:textId="6F3FACDD" w:rsidR="00C068D9" w:rsidRPr="00C068D9" w:rsidRDefault="00C068D9" w:rsidP="00C068D9">
      <w:pPr>
        <w:tabs>
          <w:tab w:val="left" w:pos="2127"/>
        </w:tabs>
        <w:spacing w:before="120"/>
        <w:outlineLvl w:val="0"/>
        <w:rPr>
          <w:rFonts w:eastAsia="Calibri" w:cs="Times New Roman"/>
          <w:b/>
          <w:color w:val="4288C8"/>
          <w:szCs w:val="20"/>
          <w:lang w:val="en-US"/>
        </w:rPr>
      </w:pPr>
      <w:r w:rsidRPr="00C068D9">
        <w:rPr>
          <w:rFonts w:eastAsia="Calibri" w:cs="Times New Roman"/>
          <w:b/>
          <w:color w:val="4288C8"/>
          <w:szCs w:val="20"/>
          <w:lang w:val="en-US"/>
        </w:rPr>
        <w:t>Question 11. Extraordinary circumstances - Articles 19a, 19b</w:t>
      </w:r>
    </w:p>
    <w:p w14:paraId="410B84F1" w14:textId="78D78B6C" w:rsidR="00C068D9" w:rsidRPr="00C068D9" w:rsidRDefault="00C068D9" w:rsidP="00C068D9">
      <w:pPr>
        <w:tabs>
          <w:tab w:val="left" w:pos="2127"/>
        </w:tabs>
        <w:spacing w:before="120"/>
        <w:outlineLvl w:val="0"/>
        <w:rPr>
          <w:rFonts w:eastAsia="Calibri" w:cs="Times New Roman"/>
          <w:bCs/>
          <w:i/>
          <w:iCs/>
          <w:color w:val="4288C8"/>
          <w:szCs w:val="20"/>
          <w:lang w:val="en-US"/>
        </w:rPr>
      </w:pPr>
      <w:r w:rsidRPr="00C068D9">
        <w:rPr>
          <w:rFonts w:eastAsia="Calibri" w:cs="Times New Roman"/>
          <w:bCs/>
          <w:i/>
          <w:iCs/>
          <w:color w:val="4288C8"/>
          <w:szCs w:val="20"/>
          <w:lang w:val="en-US"/>
        </w:rPr>
        <w:t>Do you agree with the requirements set out in Article 19a and Article 19b? If you do not agree, please describe how you would suggest revising those Articles and address the mandate on extraordinary circumstances outlined in Article 34 CRR. When giving your answer, please provide the rationale and any relevant evidence supporting your proposal.</w:t>
      </w:r>
    </w:p>
    <w:p w14:paraId="49130E68" w14:textId="1DF037A1" w:rsidR="00BF303F" w:rsidRDefault="00BF303F" w:rsidP="00C068D9">
      <w:pPr>
        <w:tabs>
          <w:tab w:val="left" w:pos="2127"/>
        </w:tabs>
        <w:spacing w:before="120"/>
        <w:outlineLvl w:val="0"/>
        <w:rPr>
          <w:rFonts w:eastAsia="Calibri" w:cs="Times New Roman"/>
          <w:bCs/>
          <w:color w:val="4288C8"/>
          <w:sz w:val="22"/>
          <w:szCs w:val="22"/>
          <w:lang w:val="en-US"/>
        </w:rPr>
      </w:pPr>
      <w:r w:rsidRPr="00BF303F">
        <w:rPr>
          <w:rFonts w:eastAsia="Calibri" w:cs="Times New Roman"/>
          <w:bCs/>
          <w:color w:val="4288C8"/>
          <w:sz w:val="22"/>
          <w:szCs w:val="22"/>
          <w:lang w:val="en-US"/>
        </w:rPr>
        <w:t>The proposed relief measure will only be applicable in the event of a major market stress but there is no provision for market dislocations on significant, short-term market stress events (e.g. CS/SVB, Russia/Ukraine war)</w:t>
      </w:r>
      <w:r>
        <w:rPr>
          <w:rFonts w:eastAsia="Calibri" w:cs="Times New Roman"/>
          <w:bCs/>
          <w:color w:val="4288C8"/>
          <w:sz w:val="22"/>
          <w:szCs w:val="22"/>
          <w:lang w:val="en-US"/>
        </w:rPr>
        <w:t>. Therefore, w</w:t>
      </w:r>
      <w:r w:rsidRPr="00BF303F">
        <w:rPr>
          <w:rFonts w:eastAsia="Calibri" w:cs="Times New Roman"/>
          <w:bCs/>
          <w:color w:val="4288C8"/>
          <w:sz w:val="22"/>
          <w:szCs w:val="22"/>
          <w:lang w:val="en-US"/>
        </w:rPr>
        <w:t xml:space="preserve">e propose </w:t>
      </w:r>
      <w:r>
        <w:rPr>
          <w:rFonts w:eastAsia="Calibri" w:cs="Times New Roman"/>
          <w:bCs/>
          <w:color w:val="4288C8"/>
          <w:sz w:val="22"/>
          <w:szCs w:val="22"/>
          <w:lang w:val="en-US"/>
        </w:rPr>
        <w:t>the i</w:t>
      </w:r>
      <w:r w:rsidRPr="00BF303F">
        <w:rPr>
          <w:rFonts w:eastAsia="Calibri" w:cs="Times New Roman"/>
          <w:bCs/>
          <w:color w:val="4288C8"/>
          <w:sz w:val="22"/>
          <w:szCs w:val="22"/>
          <w:lang w:val="en-US"/>
        </w:rPr>
        <w:t>ntroduc</w:t>
      </w:r>
      <w:r>
        <w:rPr>
          <w:rFonts w:eastAsia="Calibri" w:cs="Times New Roman"/>
          <w:bCs/>
          <w:color w:val="4288C8"/>
          <w:sz w:val="22"/>
          <w:szCs w:val="22"/>
          <w:lang w:val="en-US"/>
        </w:rPr>
        <w:t>tion of</w:t>
      </w:r>
      <w:r w:rsidRPr="00BF303F">
        <w:rPr>
          <w:rFonts w:eastAsia="Calibri" w:cs="Times New Roman"/>
          <w:bCs/>
          <w:color w:val="4288C8"/>
          <w:sz w:val="22"/>
          <w:szCs w:val="22"/>
          <w:lang w:val="en-US"/>
        </w:rPr>
        <w:t xml:space="preserve"> a relief measure for significant</w:t>
      </w:r>
      <w:r>
        <w:rPr>
          <w:rFonts w:eastAsia="Calibri" w:cs="Times New Roman"/>
          <w:bCs/>
          <w:color w:val="4288C8"/>
          <w:sz w:val="22"/>
          <w:szCs w:val="22"/>
          <w:lang w:val="en-US"/>
        </w:rPr>
        <w:t>,</w:t>
      </w:r>
      <w:r w:rsidRPr="00BF303F">
        <w:rPr>
          <w:rFonts w:eastAsia="Calibri" w:cs="Times New Roman"/>
          <w:bCs/>
          <w:color w:val="4288C8"/>
          <w:sz w:val="22"/>
          <w:szCs w:val="22"/>
          <w:lang w:val="en-US"/>
        </w:rPr>
        <w:t xml:space="preserve"> but not yet major market stress events with an alpha factor set at 0.58%.</w:t>
      </w:r>
    </w:p>
    <w:p w14:paraId="71F7EFE2" w14:textId="686D6D9D" w:rsidR="00C068D9" w:rsidRPr="00C068D9" w:rsidRDefault="00C068D9" w:rsidP="00C068D9">
      <w:pPr>
        <w:tabs>
          <w:tab w:val="left" w:pos="2127"/>
        </w:tabs>
        <w:spacing w:before="120"/>
        <w:outlineLvl w:val="0"/>
        <w:rPr>
          <w:rFonts w:eastAsia="Calibri" w:cs="Times New Roman"/>
          <w:bCs/>
          <w:color w:val="4288C8"/>
          <w:sz w:val="22"/>
          <w:szCs w:val="22"/>
          <w:lang w:val="en-US"/>
        </w:rPr>
      </w:pPr>
      <w:r w:rsidRPr="00C068D9">
        <w:rPr>
          <w:rFonts w:eastAsia="Calibri" w:cs="Times New Roman"/>
          <w:bCs/>
          <w:color w:val="4288C8"/>
          <w:sz w:val="22"/>
          <w:szCs w:val="22"/>
          <w:lang w:val="en-US"/>
        </w:rPr>
        <w:t>Taking into account extraordinary circumstances with a mechanism to avoid a pro-</w:t>
      </w:r>
      <w:r>
        <w:rPr>
          <w:rFonts w:eastAsia="Calibri" w:cs="Times New Roman"/>
          <w:bCs/>
          <w:color w:val="4288C8"/>
          <w:sz w:val="22"/>
          <w:szCs w:val="22"/>
          <w:lang w:val="en-US"/>
        </w:rPr>
        <w:t> </w:t>
      </w:r>
      <w:r w:rsidRPr="00C068D9">
        <w:rPr>
          <w:rFonts w:eastAsia="Calibri" w:cs="Times New Roman"/>
          <w:bCs/>
          <w:color w:val="4288C8"/>
          <w:sz w:val="22"/>
          <w:szCs w:val="22"/>
          <w:lang w:val="en-US"/>
        </w:rPr>
        <w:t>cyclical effect of AVA is a welcome</w:t>
      </w:r>
      <w:r>
        <w:rPr>
          <w:rFonts w:eastAsia="Calibri" w:cs="Times New Roman"/>
          <w:bCs/>
          <w:color w:val="4288C8"/>
          <w:sz w:val="22"/>
          <w:szCs w:val="22"/>
          <w:lang w:val="en-US"/>
        </w:rPr>
        <w:t>d</w:t>
      </w:r>
      <w:r w:rsidRPr="00C068D9">
        <w:rPr>
          <w:rFonts w:eastAsia="Calibri" w:cs="Times New Roman"/>
          <w:bCs/>
          <w:color w:val="4288C8"/>
          <w:sz w:val="22"/>
          <w:szCs w:val="22"/>
          <w:lang w:val="en-US"/>
        </w:rPr>
        <w:t xml:space="preserve"> addition. The use of the aggregation factor alpha is simple.</w:t>
      </w:r>
    </w:p>
    <w:p w14:paraId="0FCA677E" w14:textId="33334A07" w:rsidR="00C068D9" w:rsidRPr="002A4A28" w:rsidRDefault="00C068D9" w:rsidP="005B7427">
      <w:pPr>
        <w:tabs>
          <w:tab w:val="left" w:pos="2127"/>
        </w:tabs>
        <w:spacing w:before="120"/>
        <w:outlineLvl w:val="0"/>
        <w:rPr>
          <w:rFonts w:eastAsia="Calibri" w:cs="Times New Roman"/>
          <w:bCs/>
          <w:color w:val="4288C8"/>
          <w:sz w:val="22"/>
          <w:szCs w:val="22"/>
          <w:lang w:val="en-US"/>
        </w:rPr>
      </w:pPr>
      <w:r w:rsidRPr="00C068D9">
        <w:rPr>
          <w:rFonts w:eastAsia="Calibri" w:cs="Times New Roman"/>
          <w:bCs/>
          <w:color w:val="4288C8"/>
          <w:sz w:val="22"/>
          <w:szCs w:val="22"/>
          <w:lang w:val="en-US"/>
        </w:rPr>
        <w:t>Article 19a provides examples of market factors to take into account to trigger the state of “extraordinary circumstances”. We agree that there should not be an automatic trigger from quantitative factors as no pre-set criteria will ever account for all possible cases and an element of human judgement is required. However, the regulation does not tell who makes the ultimate decision of declaring the state of “extraordinary circumstances”. It is written “EBA shall assess”. Does EBA act as an advisory body or as a decision body? It is unlikely that EBA has an executive decision and enforcement power given its regulation setting power and the principle of separation of powers. We understand that the ultimate decision lies in the European Commission. This regulation should precise this.</w:t>
      </w:r>
    </w:p>
    <w:p w14:paraId="5594870A" w14:textId="77777777" w:rsidR="00C068D9" w:rsidRDefault="00C068D9" w:rsidP="005B7427">
      <w:pPr>
        <w:tabs>
          <w:tab w:val="left" w:pos="2127"/>
        </w:tabs>
        <w:spacing w:before="120"/>
        <w:outlineLvl w:val="0"/>
        <w:rPr>
          <w:rFonts w:eastAsia="Calibri" w:cs="Times New Roman"/>
          <w:bCs/>
          <w:color w:val="4288C8"/>
          <w:szCs w:val="20"/>
        </w:rPr>
      </w:pPr>
    </w:p>
    <w:p w14:paraId="35AC19F9" w14:textId="63544EA2" w:rsidR="00C068D9" w:rsidRPr="00C068D9" w:rsidRDefault="00C068D9" w:rsidP="00C068D9">
      <w:pPr>
        <w:tabs>
          <w:tab w:val="left" w:pos="2127"/>
        </w:tabs>
        <w:spacing w:before="120"/>
        <w:outlineLvl w:val="0"/>
        <w:rPr>
          <w:rFonts w:eastAsia="Calibri" w:cs="Times New Roman"/>
          <w:b/>
          <w:color w:val="4288C8"/>
          <w:szCs w:val="20"/>
        </w:rPr>
      </w:pPr>
      <w:r w:rsidRPr="00C068D9">
        <w:rPr>
          <w:rFonts w:eastAsia="Calibri" w:cs="Times New Roman"/>
          <w:b/>
          <w:color w:val="4288C8"/>
          <w:szCs w:val="20"/>
        </w:rPr>
        <w:lastRenderedPageBreak/>
        <w:t>Question 12. Aggregation factor for UCS - Annex</w:t>
      </w:r>
    </w:p>
    <w:p w14:paraId="4672EBAE" w14:textId="345988E6" w:rsidR="00C068D9" w:rsidRPr="00C068D9" w:rsidRDefault="00C068D9" w:rsidP="00C068D9">
      <w:pPr>
        <w:tabs>
          <w:tab w:val="left" w:pos="2127"/>
        </w:tabs>
        <w:spacing w:before="120"/>
        <w:outlineLvl w:val="0"/>
        <w:rPr>
          <w:rFonts w:eastAsia="Calibri" w:cs="Times New Roman"/>
          <w:bCs/>
          <w:i/>
          <w:iCs/>
          <w:color w:val="4288C8"/>
          <w:szCs w:val="20"/>
        </w:rPr>
      </w:pPr>
      <w:r w:rsidRPr="00C068D9">
        <w:rPr>
          <w:rFonts w:eastAsia="Calibri" w:cs="Times New Roman"/>
          <w:bCs/>
          <w:i/>
          <w:iCs/>
          <w:color w:val="4288C8"/>
          <w:szCs w:val="20"/>
        </w:rPr>
        <w:t>Which of the two options presented do you consider more appropriate for the purposes of addressing concentration of UCS AVAs? When giving your answer, please provide the rationale and any relevant evidence supporting your proposal.</w:t>
      </w:r>
    </w:p>
    <w:p w14:paraId="1FFA390A" w14:textId="5D6B081A" w:rsidR="00C068D9" w:rsidRDefault="00C068D9" w:rsidP="00C068D9">
      <w:pPr>
        <w:tabs>
          <w:tab w:val="left" w:pos="2127"/>
        </w:tabs>
        <w:spacing w:before="120"/>
        <w:contextualSpacing/>
        <w:outlineLvl w:val="0"/>
        <w:rPr>
          <w:rFonts w:eastAsia="Calibri" w:cs="Times New Roman"/>
          <w:bCs/>
          <w:color w:val="4288C8"/>
          <w:sz w:val="22"/>
          <w:szCs w:val="22"/>
        </w:rPr>
      </w:pPr>
      <w:r w:rsidRPr="00C068D9">
        <w:rPr>
          <w:rFonts w:eastAsia="Calibri" w:cs="Times New Roman"/>
          <w:bCs/>
          <w:color w:val="4288C8"/>
          <w:sz w:val="22"/>
          <w:szCs w:val="22"/>
        </w:rPr>
        <w:t xml:space="preserve">For the purpose of valuation positions </w:t>
      </w:r>
      <w:r>
        <w:rPr>
          <w:rFonts w:eastAsia="Calibri" w:cs="Times New Roman"/>
          <w:bCs/>
          <w:color w:val="4288C8"/>
          <w:sz w:val="22"/>
          <w:szCs w:val="22"/>
        </w:rPr>
        <w:t xml:space="preserve">to be </w:t>
      </w:r>
      <w:r w:rsidRPr="00C068D9">
        <w:rPr>
          <w:rFonts w:eastAsia="Calibri" w:cs="Times New Roman"/>
          <w:bCs/>
          <w:color w:val="4288C8"/>
          <w:sz w:val="22"/>
          <w:szCs w:val="22"/>
        </w:rPr>
        <w:t>deemed concentrated on certain counterparties, option 2 appear</w:t>
      </w:r>
      <w:r>
        <w:rPr>
          <w:rFonts w:eastAsia="Calibri" w:cs="Times New Roman"/>
          <w:bCs/>
          <w:color w:val="4288C8"/>
          <w:sz w:val="22"/>
          <w:szCs w:val="22"/>
        </w:rPr>
        <w:t>s</w:t>
      </w:r>
      <w:r w:rsidRPr="00C068D9">
        <w:rPr>
          <w:rFonts w:eastAsia="Calibri" w:cs="Times New Roman"/>
          <w:bCs/>
          <w:color w:val="4288C8"/>
          <w:sz w:val="22"/>
          <w:szCs w:val="22"/>
        </w:rPr>
        <w:t xml:space="preserve"> </w:t>
      </w:r>
      <w:r>
        <w:rPr>
          <w:rFonts w:eastAsia="Calibri" w:cs="Times New Roman"/>
          <w:bCs/>
          <w:color w:val="4288C8"/>
          <w:sz w:val="22"/>
          <w:szCs w:val="22"/>
        </w:rPr>
        <w:t xml:space="preserve">quite </w:t>
      </w:r>
      <w:r w:rsidRPr="00C068D9">
        <w:rPr>
          <w:rFonts w:eastAsia="Calibri" w:cs="Times New Roman"/>
          <w:bCs/>
          <w:color w:val="4288C8"/>
          <w:sz w:val="22"/>
          <w:szCs w:val="22"/>
        </w:rPr>
        <w:t xml:space="preserve">simple to implement but </w:t>
      </w:r>
      <w:r>
        <w:rPr>
          <w:rFonts w:eastAsia="Calibri" w:cs="Times New Roman"/>
          <w:bCs/>
          <w:color w:val="4288C8"/>
          <w:sz w:val="22"/>
          <w:szCs w:val="22"/>
        </w:rPr>
        <w:t xml:space="preserve">it seems </w:t>
      </w:r>
      <w:r w:rsidRPr="00C068D9">
        <w:rPr>
          <w:rFonts w:eastAsia="Calibri" w:cs="Times New Roman"/>
          <w:bCs/>
          <w:color w:val="4288C8"/>
          <w:sz w:val="22"/>
          <w:szCs w:val="22"/>
        </w:rPr>
        <w:t>arbitrary</w:t>
      </w:r>
      <w:r>
        <w:rPr>
          <w:rFonts w:eastAsia="Calibri" w:cs="Times New Roman"/>
          <w:bCs/>
          <w:color w:val="4288C8"/>
          <w:sz w:val="22"/>
          <w:szCs w:val="22"/>
        </w:rPr>
        <w:t>,</w:t>
      </w:r>
      <w:r w:rsidRPr="00C068D9">
        <w:rPr>
          <w:rFonts w:eastAsia="Calibri" w:cs="Times New Roman"/>
          <w:bCs/>
          <w:color w:val="4288C8"/>
          <w:sz w:val="22"/>
          <w:szCs w:val="22"/>
        </w:rPr>
        <w:t xml:space="preserve"> as being part of the 5 largest UCS AVA has no relationship with concentration. The 5 counterparties may simply have a slightly larger AVA than others.</w:t>
      </w:r>
    </w:p>
    <w:p w14:paraId="1B19767A" w14:textId="2350EBCB" w:rsidR="00AE1123" w:rsidRDefault="00AE1123" w:rsidP="00C068D9">
      <w:pPr>
        <w:tabs>
          <w:tab w:val="left" w:pos="2127"/>
        </w:tabs>
        <w:spacing w:before="120"/>
        <w:contextualSpacing/>
        <w:outlineLvl w:val="0"/>
        <w:rPr>
          <w:rFonts w:eastAsia="Calibri" w:cs="Times New Roman"/>
          <w:bCs/>
          <w:strike/>
          <w:color w:val="4288C8"/>
          <w:sz w:val="22"/>
          <w:szCs w:val="22"/>
        </w:rPr>
      </w:pPr>
    </w:p>
    <w:p w14:paraId="70C9CCCC" w14:textId="20BD9F5B" w:rsidR="00AE1123" w:rsidRPr="000843CA" w:rsidRDefault="00AE1123" w:rsidP="00C068D9">
      <w:pPr>
        <w:tabs>
          <w:tab w:val="left" w:pos="2127"/>
        </w:tabs>
        <w:spacing w:before="120"/>
        <w:contextualSpacing/>
        <w:outlineLvl w:val="0"/>
        <w:rPr>
          <w:rFonts w:eastAsia="Calibri" w:cs="Times New Roman"/>
          <w:bCs/>
          <w:color w:val="4288C8"/>
          <w:sz w:val="22"/>
          <w:szCs w:val="22"/>
        </w:rPr>
      </w:pPr>
      <w:r w:rsidRPr="000843CA">
        <w:rPr>
          <w:rFonts w:eastAsia="Calibri" w:cs="Times New Roman"/>
          <w:bCs/>
          <w:color w:val="4288C8"/>
          <w:sz w:val="22"/>
          <w:szCs w:val="22"/>
        </w:rPr>
        <w:t>Option 1 is even worse as it disallows the usage of diversification benefit for all UCS AVA calculations if a single position is determined to be concentrated (&gt;10%).</w:t>
      </w:r>
    </w:p>
    <w:p w14:paraId="05D782F4" w14:textId="77777777" w:rsidR="00711E1C" w:rsidRPr="00C068D9" w:rsidRDefault="00711E1C" w:rsidP="00C068D9">
      <w:pPr>
        <w:tabs>
          <w:tab w:val="left" w:pos="2127"/>
        </w:tabs>
        <w:spacing w:before="120"/>
        <w:contextualSpacing/>
        <w:outlineLvl w:val="0"/>
        <w:rPr>
          <w:rFonts w:eastAsia="Calibri" w:cs="Times New Roman"/>
          <w:bCs/>
          <w:color w:val="4288C8"/>
          <w:sz w:val="22"/>
          <w:szCs w:val="22"/>
        </w:rPr>
      </w:pPr>
    </w:p>
    <w:p w14:paraId="0E3F802E" w14:textId="6AFE33D2" w:rsidR="00C068D9" w:rsidRDefault="00C616C0" w:rsidP="00C068D9">
      <w:pPr>
        <w:tabs>
          <w:tab w:val="left" w:pos="2127"/>
        </w:tabs>
        <w:spacing w:before="120"/>
        <w:contextualSpacing/>
        <w:outlineLvl w:val="0"/>
        <w:rPr>
          <w:rFonts w:eastAsia="Calibri" w:cs="Times New Roman"/>
          <w:bCs/>
          <w:color w:val="4288C8"/>
          <w:sz w:val="22"/>
          <w:szCs w:val="22"/>
        </w:rPr>
      </w:pPr>
      <w:r>
        <w:rPr>
          <w:rFonts w:eastAsia="Calibri" w:cs="Times New Roman"/>
          <w:bCs/>
          <w:color w:val="4288C8"/>
          <w:sz w:val="22"/>
          <w:szCs w:val="22"/>
        </w:rPr>
        <w:t>T</w:t>
      </w:r>
      <w:r w:rsidR="009B6133">
        <w:rPr>
          <w:rFonts w:eastAsia="Calibri" w:cs="Times New Roman"/>
          <w:bCs/>
          <w:color w:val="4288C8"/>
          <w:sz w:val="22"/>
          <w:szCs w:val="22"/>
        </w:rPr>
        <w:t>he</w:t>
      </w:r>
      <w:r w:rsidR="00C068D9" w:rsidRPr="00C068D9">
        <w:rPr>
          <w:rFonts w:eastAsia="Calibri" w:cs="Times New Roman"/>
          <w:bCs/>
          <w:color w:val="4288C8"/>
          <w:sz w:val="22"/>
          <w:szCs w:val="22"/>
        </w:rPr>
        <w:t xml:space="preserve"> industry does not understand the rationale of detecting a CVA concentration issue only by comparing AVAs between different counterparties without taking into account any volume information or CVA levels relatively to the </w:t>
      </w:r>
      <w:proofErr w:type="spellStart"/>
      <w:r w:rsidR="00C068D9" w:rsidRPr="00C068D9">
        <w:rPr>
          <w:rFonts w:eastAsia="Calibri" w:cs="Times New Roman"/>
          <w:bCs/>
          <w:color w:val="4288C8"/>
          <w:sz w:val="22"/>
          <w:szCs w:val="22"/>
        </w:rPr>
        <w:t>MtMs</w:t>
      </w:r>
      <w:proofErr w:type="spellEnd"/>
      <w:r w:rsidR="00C068D9" w:rsidRPr="00C068D9">
        <w:rPr>
          <w:rFonts w:eastAsia="Calibri" w:cs="Times New Roman"/>
          <w:bCs/>
          <w:color w:val="4288C8"/>
          <w:sz w:val="22"/>
          <w:szCs w:val="22"/>
        </w:rPr>
        <w:t xml:space="preserve">. Therefore, banks believe that both options cannot answer the raised concentration issue. </w:t>
      </w:r>
    </w:p>
    <w:p w14:paraId="3BFAFAA6" w14:textId="77777777" w:rsidR="0018387B" w:rsidRPr="00C068D9" w:rsidRDefault="0018387B" w:rsidP="00C068D9">
      <w:pPr>
        <w:tabs>
          <w:tab w:val="left" w:pos="2127"/>
        </w:tabs>
        <w:spacing w:before="120"/>
        <w:contextualSpacing/>
        <w:outlineLvl w:val="0"/>
        <w:rPr>
          <w:rFonts w:eastAsia="Calibri" w:cs="Times New Roman"/>
          <w:bCs/>
          <w:color w:val="4288C8"/>
          <w:sz w:val="22"/>
          <w:szCs w:val="22"/>
        </w:rPr>
      </w:pPr>
    </w:p>
    <w:p w14:paraId="69858D79" w14:textId="6D6BDADD" w:rsidR="00C068D9" w:rsidRDefault="00C068D9" w:rsidP="00C068D9">
      <w:pPr>
        <w:tabs>
          <w:tab w:val="left" w:pos="2127"/>
        </w:tabs>
        <w:spacing w:before="120"/>
        <w:contextualSpacing/>
        <w:outlineLvl w:val="0"/>
        <w:rPr>
          <w:rFonts w:eastAsia="Calibri" w:cs="Times New Roman"/>
          <w:bCs/>
          <w:color w:val="4288C8"/>
          <w:sz w:val="22"/>
          <w:szCs w:val="22"/>
        </w:rPr>
      </w:pPr>
      <w:r w:rsidRPr="00C068D9">
        <w:rPr>
          <w:rFonts w:eastAsia="Calibri" w:cs="Times New Roman"/>
          <w:bCs/>
          <w:color w:val="4288C8"/>
          <w:sz w:val="22"/>
          <w:szCs w:val="22"/>
        </w:rPr>
        <w:t xml:space="preserve">More fundamentally, both option 1 and 2 subjectively measure “inner” concentration and are irrelevant from a valuation perspective, be accounting, regulatory or in a resolution context.  </w:t>
      </w:r>
    </w:p>
    <w:p w14:paraId="7331138E" w14:textId="77777777" w:rsidR="009B6133" w:rsidRPr="00C068D9" w:rsidRDefault="009B6133" w:rsidP="00C068D9">
      <w:pPr>
        <w:tabs>
          <w:tab w:val="left" w:pos="2127"/>
        </w:tabs>
        <w:spacing w:before="120"/>
        <w:contextualSpacing/>
        <w:outlineLvl w:val="0"/>
        <w:rPr>
          <w:rFonts w:eastAsia="Calibri" w:cs="Times New Roman"/>
          <w:bCs/>
          <w:color w:val="4288C8"/>
          <w:sz w:val="22"/>
          <w:szCs w:val="22"/>
        </w:rPr>
      </w:pPr>
    </w:p>
    <w:p w14:paraId="3607B7BF" w14:textId="5DB85522" w:rsidR="00C068D9" w:rsidRPr="00C068D9" w:rsidRDefault="00C068D9" w:rsidP="00C068D9">
      <w:pPr>
        <w:tabs>
          <w:tab w:val="left" w:pos="2127"/>
        </w:tabs>
        <w:spacing w:before="120"/>
        <w:contextualSpacing/>
        <w:outlineLvl w:val="0"/>
        <w:rPr>
          <w:rFonts w:eastAsia="Calibri" w:cs="Times New Roman"/>
          <w:bCs/>
          <w:color w:val="4288C8"/>
          <w:sz w:val="22"/>
          <w:szCs w:val="22"/>
        </w:rPr>
      </w:pPr>
      <w:r w:rsidRPr="00C068D9">
        <w:rPr>
          <w:rFonts w:eastAsia="Calibri" w:cs="Times New Roman"/>
          <w:bCs/>
          <w:color w:val="4288C8"/>
          <w:sz w:val="22"/>
          <w:szCs w:val="22"/>
        </w:rPr>
        <w:t xml:space="preserve">Market participants/Valuers would not factor in these metrics when pricing individual or aggregated XVA exposures not to mention that 10% threshold / 5 most significant counterparts are arbitrary and without justification. </w:t>
      </w:r>
    </w:p>
    <w:p w14:paraId="465D7CBA" w14:textId="7613AB4F" w:rsidR="00C068D9" w:rsidRPr="00C068D9" w:rsidRDefault="00C068D9" w:rsidP="00C068D9">
      <w:pPr>
        <w:tabs>
          <w:tab w:val="left" w:pos="2127"/>
        </w:tabs>
        <w:spacing w:before="120"/>
        <w:contextualSpacing/>
        <w:outlineLvl w:val="0"/>
        <w:rPr>
          <w:rFonts w:eastAsia="Calibri" w:cs="Times New Roman"/>
          <w:bCs/>
          <w:color w:val="4288C8"/>
          <w:sz w:val="22"/>
          <w:szCs w:val="22"/>
        </w:rPr>
      </w:pPr>
      <w:r w:rsidRPr="00C068D9">
        <w:rPr>
          <w:rFonts w:eastAsia="Calibri" w:cs="Times New Roman"/>
          <w:bCs/>
          <w:color w:val="4288C8"/>
          <w:sz w:val="22"/>
          <w:szCs w:val="22"/>
        </w:rPr>
        <w:t xml:space="preserve">Alternatively, the question of “outer” concentration (i.e. the extension of article 14 to article 12) might be raised despite comments in footnote 5. </w:t>
      </w:r>
    </w:p>
    <w:p w14:paraId="21EE51FA" w14:textId="7CFA198D" w:rsidR="00C068D9" w:rsidRDefault="00C068D9" w:rsidP="00C068D9">
      <w:pPr>
        <w:tabs>
          <w:tab w:val="left" w:pos="2127"/>
        </w:tabs>
        <w:spacing w:before="120"/>
        <w:contextualSpacing/>
        <w:outlineLvl w:val="0"/>
        <w:rPr>
          <w:rFonts w:eastAsia="Calibri" w:cs="Times New Roman"/>
          <w:bCs/>
          <w:color w:val="4288C8"/>
          <w:sz w:val="22"/>
          <w:szCs w:val="22"/>
        </w:rPr>
      </w:pPr>
      <w:r w:rsidRPr="00C068D9">
        <w:rPr>
          <w:rFonts w:eastAsia="Calibri" w:cs="Times New Roman"/>
          <w:bCs/>
          <w:color w:val="4288C8"/>
          <w:sz w:val="22"/>
          <w:szCs w:val="22"/>
        </w:rPr>
        <w:t>In conclusion, the intention of this amendment seems not entirely clear for the banking industry.</w:t>
      </w:r>
    </w:p>
    <w:p w14:paraId="5507929E" w14:textId="77777777" w:rsidR="00754990" w:rsidRDefault="00754990" w:rsidP="00C068D9">
      <w:pPr>
        <w:tabs>
          <w:tab w:val="left" w:pos="2127"/>
        </w:tabs>
        <w:spacing w:before="120"/>
        <w:contextualSpacing/>
        <w:outlineLvl w:val="0"/>
        <w:rPr>
          <w:rFonts w:eastAsia="Calibri" w:cs="Times New Roman"/>
          <w:bCs/>
          <w:color w:val="4288C8"/>
          <w:sz w:val="22"/>
          <w:szCs w:val="22"/>
        </w:rPr>
      </w:pPr>
    </w:p>
    <w:p w14:paraId="5EE98070" w14:textId="77777777" w:rsidR="00754990" w:rsidRPr="000843CA" w:rsidRDefault="00754990" w:rsidP="00754990">
      <w:pPr>
        <w:tabs>
          <w:tab w:val="left" w:pos="2127"/>
        </w:tabs>
        <w:spacing w:before="120"/>
        <w:contextualSpacing/>
        <w:outlineLvl w:val="0"/>
        <w:rPr>
          <w:rFonts w:eastAsia="Calibri" w:cs="Times New Roman"/>
          <w:bCs/>
          <w:color w:val="4288C8"/>
          <w:sz w:val="22"/>
          <w:szCs w:val="22"/>
        </w:rPr>
      </w:pPr>
      <w:r w:rsidRPr="000843CA">
        <w:rPr>
          <w:rFonts w:eastAsia="Calibri" w:cs="Times New Roman"/>
          <w:bCs/>
          <w:color w:val="4288C8"/>
          <w:sz w:val="22"/>
          <w:szCs w:val="22"/>
        </w:rPr>
        <w:t>Therefore, we propose an alternative as the only viable approach in the form of:</w:t>
      </w:r>
    </w:p>
    <w:p w14:paraId="3EF13CC1" w14:textId="77777777" w:rsidR="00754990" w:rsidRPr="000843CA" w:rsidRDefault="00754990" w:rsidP="00754990">
      <w:pPr>
        <w:numPr>
          <w:ilvl w:val="0"/>
          <w:numId w:val="43"/>
        </w:numPr>
        <w:tabs>
          <w:tab w:val="left" w:pos="2127"/>
        </w:tabs>
        <w:spacing w:before="120"/>
        <w:contextualSpacing/>
        <w:outlineLvl w:val="0"/>
        <w:rPr>
          <w:rFonts w:eastAsia="Calibri" w:cs="Times New Roman"/>
          <w:bCs/>
          <w:color w:val="4288C8"/>
          <w:sz w:val="22"/>
          <w:szCs w:val="22"/>
        </w:rPr>
      </w:pPr>
      <w:r w:rsidRPr="000843CA">
        <w:rPr>
          <w:rFonts w:eastAsia="Calibri" w:cs="Times New Roman"/>
          <w:bCs/>
          <w:color w:val="4288C8"/>
          <w:sz w:val="22"/>
          <w:szCs w:val="22"/>
        </w:rPr>
        <w:t xml:space="preserve">A requirement for institutions to perform systematic portfolio level analysis to identify concentrated positions (which may give consideration to the identification of individual exposures which exceed a threshold of 10% applied to Fair Value CVA). </w:t>
      </w:r>
    </w:p>
    <w:p w14:paraId="47B484EA" w14:textId="77777777" w:rsidR="00754990" w:rsidRPr="000843CA" w:rsidRDefault="00754990" w:rsidP="00754990">
      <w:pPr>
        <w:numPr>
          <w:ilvl w:val="0"/>
          <w:numId w:val="43"/>
        </w:numPr>
        <w:tabs>
          <w:tab w:val="left" w:pos="2127"/>
        </w:tabs>
        <w:spacing w:before="120"/>
        <w:contextualSpacing/>
        <w:outlineLvl w:val="0"/>
        <w:rPr>
          <w:rFonts w:eastAsia="Calibri" w:cs="Times New Roman"/>
          <w:bCs/>
          <w:color w:val="4288C8"/>
          <w:sz w:val="22"/>
          <w:szCs w:val="22"/>
        </w:rPr>
      </w:pPr>
      <w:r w:rsidRPr="000843CA">
        <w:rPr>
          <w:rFonts w:eastAsia="Calibri" w:cs="Times New Roman"/>
          <w:bCs/>
          <w:color w:val="4288C8"/>
          <w:sz w:val="22"/>
          <w:szCs w:val="22"/>
        </w:rPr>
        <w:t>Only consider the removal of the aggregation factor provided the institution has not taken alternative, bespoke measures to address the specific risk in the UCS AVA, to the satisfaction of the competent authority.</w:t>
      </w:r>
    </w:p>
    <w:p w14:paraId="735BE5D0" w14:textId="77777777" w:rsidR="00754990" w:rsidRPr="000843CA" w:rsidRDefault="00754990" w:rsidP="00754990">
      <w:pPr>
        <w:numPr>
          <w:ilvl w:val="0"/>
          <w:numId w:val="43"/>
        </w:numPr>
        <w:tabs>
          <w:tab w:val="left" w:pos="2127"/>
        </w:tabs>
        <w:spacing w:before="120"/>
        <w:contextualSpacing/>
        <w:outlineLvl w:val="0"/>
        <w:rPr>
          <w:rFonts w:eastAsia="Calibri" w:cs="Times New Roman"/>
          <w:bCs/>
          <w:color w:val="4288C8"/>
          <w:sz w:val="22"/>
          <w:szCs w:val="22"/>
        </w:rPr>
      </w:pPr>
      <w:r w:rsidRPr="000843CA">
        <w:rPr>
          <w:rFonts w:eastAsia="Calibri" w:cs="Times New Roman"/>
          <w:bCs/>
          <w:color w:val="4288C8"/>
          <w:sz w:val="22"/>
          <w:szCs w:val="22"/>
        </w:rPr>
        <w:t>Apply the removal of the aggregation factor only to the counterparty being seen as concentrated and not to the whole UCS AVA.</w:t>
      </w:r>
    </w:p>
    <w:p w14:paraId="30A99B69" w14:textId="77777777" w:rsidR="00644DDC" w:rsidRDefault="00644DDC" w:rsidP="005B7427">
      <w:pPr>
        <w:tabs>
          <w:tab w:val="left" w:pos="2127"/>
        </w:tabs>
        <w:spacing w:before="120"/>
        <w:outlineLvl w:val="0"/>
        <w:rPr>
          <w:rFonts w:eastAsia="Calibri" w:cs="Times New Roman"/>
          <w:bCs/>
          <w:color w:val="4288C8"/>
          <w:szCs w:val="20"/>
        </w:rPr>
      </w:pPr>
    </w:p>
    <w:p w14:paraId="17BB845F" w14:textId="6BF31C87" w:rsidR="008E73A4" w:rsidRPr="008E73A4" w:rsidRDefault="008E73A4" w:rsidP="008E73A4">
      <w:pPr>
        <w:tabs>
          <w:tab w:val="left" w:pos="2127"/>
        </w:tabs>
        <w:spacing w:before="120"/>
        <w:outlineLvl w:val="0"/>
        <w:rPr>
          <w:rFonts w:eastAsia="Calibri" w:cs="Times New Roman"/>
          <w:b/>
          <w:color w:val="4288C8"/>
          <w:szCs w:val="20"/>
        </w:rPr>
      </w:pPr>
      <w:r w:rsidRPr="008E73A4">
        <w:rPr>
          <w:rFonts w:eastAsia="Calibri" w:cs="Times New Roman"/>
          <w:b/>
          <w:color w:val="4288C8"/>
          <w:szCs w:val="20"/>
        </w:rPr>
        <w:t>Question 13. Annex</w:t>
      </w:r>
    </w:p>
    <w:p w14:paraId="0426BB70" w14:textId="689A4BD2" w:rsidR="008E73A4" w:rsidRPr="008E73A4" w:rsidRDefault="008E73A4" w:rsidP="008E73A4">
      <w:pPr>
        <w:tabs>
          <w:tab w:val="left" w:pos="2127"/>
        </w:tabs>
        <w:spacing w:before="120"/>
        <w:outlineLvl w:val="0"/>
        <w:rPr>
          <w:rFonts w:eastAsia="Calibri" w:cs="Times New Roman"/>
          <w:bCs/>
          <w:i/>
          <w:iCs/>
          <w:color w:val="4288C8"/>
          <w:szCs w:val="20"/>
        </w:rPr>
      </w:pPr>
      <w:r w:rsidRPr="008E73A4">
        <w:rPr>
          <w:rFonts w:eastAsia="Calibri" w:cs="Times New Roman"/>
          <w:bCs/>
          <w:i/>
          <w:iCs/>
          <w:color w:val="4288C8"/>
          <w:szCs w:val="20"/>
        </w:rPr>
        <w:t xml:space="preserve">Do you have any comments with regard to the amendments introduced in the Annex? If you do not agree with the amendments, please describe how you would adjust or design the requirements to meet the policy objectives that the amendments try to achieve. When </w:t>
      </w:r>
      <w:r w:rsidRPr="008E73A4">
        <w:rPr>
          <w:rFonts w:eastAsia="Calibri" w:cs="Times New Roman"/>
          <w:bCs/>
          <w:i/>
          <w:iCs/>
          <w:color w:val="4288C8"/>
          <w:szCs w:val="20"/>
        </w:rPr>
        <w:lastRenderedPageBreak/>
        <w:t>giving your answer, please provide the rationale and relevant evidence supporting your proposal.</w:t>
      </w:r>
    </w:p>
    <w:p w14:paraId="33476BD6" w14:textId="639FBD4D" w:rsidR="008E73A4" w:rsidRPr="008E73A4" w:rsidRDefault="008E73A4" w:rsidP="008E73A4">
      <w:pPr>
        <w:tabs>
          <w:tab w:val="left" w:pos="2127"/>
        </w:tabs>
        <w:spacing w:before="120"/>
        <w:outlineLvl w:val="0"/>
        <w:rPr>
          <w:rFonts w:eastAsia="Calibri" w:cs="Times New Roman"/>
          <w:bCs/>
          <w:color w:val="4288C8"/>
          <w:sz w:val="22"/>
          <w:szCs w:val="22"/>
        </w:rPr>
      </w:pPr>
      <w:r w:rsidRPr="008E73A4">
        <w:rPr>
          <w:rFonts w:eastAsia="Calibri" w:cs="Times New Roman"/>
          <w:bCs/>
          <w:color w:val="4288C8"/>
          <w:sz w:val="22"/>
          <w:szCs w:val="22"/>
        </w:rPr>
        <w:t xml:space="preserve">The rationale leading to the removal of the method 2 of aggregation does not find us </w:t>
      </w:r>
      <w:r w:rsidR="006625AC">
        <w:rPr>
          <w:rFonts w:eastAsia="Calibri" w:cs="Times New Roman"/>
          <w:bCs/>
          <w:color w:val="4288C8"/>
          <w:sz w:val="22"/>
          <w:szCs w:val="22"/>
        </w:rPr>
        <w:t xml:space="preserve">entirely </w:t>
      </w:r>
      <w:r w:rsidRPr="008E73A4">
        <w:rPr>
          <w:rFonts w:eastAsia="Calibri" w:cs="Times New Roman"/>
          <w:bCs/>
          <w:color w:val="4288C8"/>
          <w:sz w:val="22"/>
          <w:szCs w:val="22"/>
        </w:rPr>
        <w:t>agreed. Furthermore to method 1, method 2 leads to a CET1 level independent from the choice of Fair value methodology and level of conservativeness embedded in Fair value. Method 2 relies on a precise definition of the Expected Value (EV) that is insufficiently defined in the current framework in particular for CoC (expected exit cost for Prudent value vs principal market exit cost for Fair value). However, for MPU and Model Risk, Expected value is clearly defined as the value obtained with valuation models without conservative layer (valuation theory defines the value as the expectation of future cashflows).</w:t>
      </w:r>
    </w:p>
    <w:p w14:paraId="78909A7A" w14:textId="0A74BCB6" w:rsidR="008E73A4" w:rsidRPr="008E73A4" w:rsidRDefault="008E73A4" w:rsidP="008E73A4">
      <w:pPr>
        <w:tabs>
          <w:tab w:val="left" w:pos="2127"/>
        </w:tabs>
        <w:spacing w:before="120"/>
        <w:outlineLvl w:val="0"/>
        <w:rPr>
          <w:rFonts w:eastAsia="Calibri" w:cs="Times New Roman"/>
          <w:bCs/>
          <w:color w:val="4288C8"/>
          <w:sz w:val="22"/>
          <w:szCs w:val="22"/>
        </w:rPr>
      </w:pPr>
      <w:r w:rsidRPr="008E73A4">
        <w:rPr>
          <w:rFonts w:eastAsia="Calibri" w:cs="Times New Roman"/>
          <w:bCs/>
          <w:color w:val="4288C8"/>
          <w:sz w:val="22"/>
          <w:szCs w:val="22"/>
        </w:rPr>
        <w:t>With the use of method 1, the effect well explained in figure 1 page 9 of the consultation paper (impact of absence of fair value adjustment) leads the revised framework to propose a form of penalty (alpha = 0) when fair value adjustments are deemed insufficient (defined as not commensurate with the adjustment other market participants would consider when determining the reference fair value). This may lead to inconclusive challenges by the supervisory authority as to whether fair value adjustments are insufficient as there are no objective criteria for this. Setting an appropriate level of EV in method 2 with more regulatory guidance would lead to better EU level playing field in the determination of CET1 without the need to challenge each firm’s accounting practice with subjective judgement. Indeed, the accounting fair value in IFRS 13 does not require a precise confidence interval (even if a 50% confidence and above is deemed acceptable by accounting firms) and EBA is overstepping its mission when making an assessment of insufficiency. Such competency of judgement lay down to the audit firms signing on the accounts of institutions and having such conflict of competency is not seen as an appropriate one.</w:t>
      </w:r>
    </w:p>
    <w:p w14:paraId="6AF8DD65" w14:textId="3B783BC7" w:rsidR="008E73A4" w:rsidRPr="008E73A4" w:rsidRDefault="008E73A4" w:rsidP="008E73A4">
      <w:pPr>
        <w:tabs>
          <w:tab w:val="left" w:pos="2127"/>
        </w:tabs>
        <w:spacing w:before="120"/>
        <w:outlineLvl w:val="0"/>
        <w:rPr>
          <w:rFonts w:eastAsia="Calibri" w:cs="Times New Roman"/>
          <w:bCs/>
          <w:color w:val="4288C8"/>
          <w:sz w:val="22"/>
          <w:szCs w:val="22"/>
        </w:rPr>
      </w:pPr>
      <w:r w:rsidRPr="008E73A4">
        <w:rPr>
          <w:rFonts w:eastAsia="Calibri" w:cs="Times New Roman"/>
          <w:bCs/>
          <w:color w:val="4288C8"/>
          <w:sz w:val="22"/>
          <w:szCs w:val="22"/>
        </w:rPr>
        <w:t>The revised framework is too subjective with a potential high impact on AVA amounts that each bank cannot anticipate since it will depend on other bank’s FVA amounts and policies. It would be better to link this point to internal and/or external review conclusions regarding the consistency of the FVA amounts in regard with the bank’s positions and valuation policies.</w:t>
      </w:r>
    </w:p>
    <w:p w14:paraId="3847D876" w14:textId="6142E9F2" w:rsidR="008E73A4" w:rsidRPr="008E73A4" w:rsidRDefault="00C26DA8" w:rsidP="008E73A4">
      <w:pPr>
        <w:tabs>
          <w:tab w:val="left" w:pos="2127"/>
        </w:tabs>
        <w:spacing w:before="120"/>
        <w:outlineLvl w:val="0"/>
        <w:rPr>
          <w:rFonts w:eastAsia="Calibri" w:cs="Times New Roman"/>
          <w:bCs/>
          <w:color w:val="4288C8"/>
          <w:sz w:val="22"/>
          <w:szCs w:val="22"/>
        </w:rPr>
      </w:pPr>
      <w:r>
        <w:rPr>
          <w:rFonts w:eastAsia="Calibri" w:cs="Times New Roman"/>
          <w:bCs/>
          <w:color w:val="4288C8"/>
          <w:sz w:val="22"/>
          <w:szCs w:val="22"/>
        </w:rPr>
        <w:t>T</w:t>
      </w:r>
      <w:r w:rsidR="008E73A4" w:rsidRPr="008E73A4">
        <w:rPr>
          <w:rFonts w:eastAsia="Calibri" w:cs="Times New Roman"/>
          <w:bCs/>
          <w:color w:val="4288C8"/>
          <w:sz w:val="22"/>
          <w:szCs w:val="22"/>
        </w:rPr>
        <w:t>he diversification benefit has been designed to account for the structural de-correlation between uncertainties across all sources and when measured at a conservative confidence level. There is no theoretical rationale for adjusting it to offset various flaws or bias in the FVA or PVA framework.</w:t>
      </w:r>
    </w:p>
    <w:p w14:paraId="5DE02D7D" w14:textId="4904398A" w:rsidR="008E73A4" w:rsidRPr="008E73A4" w:rsidRDefault="008E73A4" w:rsidP="008E73A4">
      <w:pPr>
        <w:tabs>
          <w:tab w:val="left" w:pos="2127"/>
        </w:tabs>
        <w:spacing w:before="120"/>
        <w:outlineLvl w:val="0"/>
        <w:rPr>
          <w:rFonts w:eastAsia="Calibri" w:cs="Times New Roman"/>
          <w:bCs/>
          <w:color w:val="4288C8"/>
          <w:sz w:val="22"/>
          <w:szCs w:val="22"/>
        </w:rPr>
      </w:pPr>
      <w:r w:rsidRPr="008E73A4">
        <w:rPr>
          <w:rFonts w:eastAsia="Calibri" w:cs="Times New Roman"/>
          <w:bCs/>
          <w:color w:val="4288C8"/>
          <w:sz w:val="22"/>
          <w:szCs w:val="22"/>
        </w:rPr>
        <w:t xml:space="preserve">EBA could alternatively expand the hypothetical portfolio exercise for IMA benchmarking to assess consistency in FVA and PVA calibration across firms.    </w:t>
      </w:r>
    </w:p>
    <w:p w14:paraId="70A1AB22" w14:textId="42204D02" w:rsidR="008E73A4" w:rsidRPr="008E73A4" w:rsidRDefault="008E73A4" w:rsidP="008E73A4">
      <w:pPr>
        <w:tabs>
          <w:tab w:val="left" w:pos="2127"/>
        </w:tabs>
        <w:spacing w:before="120"/>
        <w:outlineLvl w:val="0"/>
        <w:rPr>
          <w:rFonts w:eastAsia="Calibri" w:cs="Times New Roman"/>
          <w:bCs/>
          <w:color w:val="4288C8"/>
          <w:sz w:val="22"/>
          <w:szCs w:val="22"/>
        </w:rPr>
      </w:pPr>
      <w:r w:rsidRPr="008E73A4">
        <w:rPr>
          <w:rFonts w:eastAsia="Calibri" w:cs="Times New Roman"/>
          <w:bCs/>
          <w:color w:val="4288C8"/>
          <w:sz w:val="22"/>
          <w:szCs w:val="22"/>
        </w:rPr>
        <w:t>The use of tenor dimension reduction with the Variance ration test (VRT) and loss of diversification benefit (alpha = 0) is discussed with question 8.</w:t>
      </w:r>
    </w:p>
    <w:p w14:paraId="7CE3B1D1" w14:textId="73EB178E" w:rsidR="008E73A4" w:rsidRPr="008E73A4" w:rsidRDefault="008E73A4" w:rsidP="008E73A4">
      <w:pPr>
        <w:tabs>
          <w:tab w:val="left" w:pos="2127"/>
        </w:tabs>
        <w:spacing w:before="120"/>
        <w:outlineLvl w:val="0"/>
        <w:rPr>
          <w:rFonts w:eastAsia="Calibri" w:cs="Times New Roman"/>
          <w:bCs/>
          <w:color w:val="4288C8"/>
          <w:sz w:val="22"/>
          <w:szCs w:val="22"/>
        </w:rPr>
      </w:pPr>
      <w:r w:rsidRPr="008E73A4">
        <w:rPr>
          <w:rFonts w:eastAsia="Calibri" w:cs="Times New Roman"/>
          <w:bCs/>
          <w:color w:val="4288C8"/>
          <w:sz w:val="22"/>
          <w:szCs w:val="22"/>
        </w:rPr>
        <w:t>Regarding the need to reintegrate unadjusted IPV difference into the CET1 measure through the AVA, we can understand the logic</w:t>
      </w:r>
      <w:r w:rsidR="00C26DA8">
        <w:rPr>
          <w:rFonts w:eastAsia="Calibri" w:cs="Times New Roman"/>
          <w:bCs/>
          <w:color w:val="4288C8"/>
          <w:sz w:val="22"/>
          <w:szCs w:val="22"/>
        </w:rPr>
        <w:t xml:space="preserve">, yet </w:t>
      </w:r>
      <w:r w:rsidRPr="008E73A4">
        <w:rPr>
          <w:rFonts w:eastAsia="Calibri" w:cs="Times New Roman"/>
          <w:bCs/>
          <w:color w:val="4288C8"/>
          <w:sz w:val="22"/>
          <w:szCs w:val="22"/>
        </w:rPr>
        <w:t xml:space="preserve">there are </w:t>
      </w:r>
      <w:r w:rsidR="00C26DA8">
        <w:rPr>
          <w:rFonts w:eastAsia="Calibri" w:cs="Times New Roman"/>
          <w:bCs/>
          <w:color w:val="4288C8"/>
          <w:sz w:val="22"/>
          <w:szCs w:val="22"/>
        </w:rPr>
        <w:t>two</w:t>
      </w:r>
      <w:r w:rsidRPr="008E73A4">
        <w:rPr>
          <w:rFonts w:eastAsia="Calibri" w:cs="Times New Roman"/>
          <w:bCs/>
          <w:color w:val="4288C8"/>
          <w:sz w:val="22"/>
          <w:szCs w:val="22"/>
        </w:rPr>
        <w:t xml:space="preserve"> elements to consider: </w:t>
      </w:r>
    </w:p>
    <w:p w14:paraId="43D93D2F" w14:textId="2EF76E51" w:rsidR="008E73A4" w:rsidRDefault="008E73A4" w:rsidP="008E73A4">
      <w:pPr>
        <w:pStyle w:val="ListParagraph"/>
        <w:numPr>
          <w:ilvl w:val="0"/>
          <w:numId w:val="40"/>
        </w:numPr>
        <w:tabs>
          <w:tab w:val="left" w:pos="2127"/>
        </w:tabs>
        <w:spacing w:before="120"/>
        <w:outlineLvl w:val="0"/>
        <w:rPr>
          <w:rFonts w:eastAsia="Calibri" w:cs="Times New Roman"/>
          <w:bCs/>
          <w:color w:val="4288C8"/>
          <w:sz w:val="22"/>
          <w:szCs w:val="22"/>
        </w:rPr>
      </w:pPr>
      <w:r w:rsidRPr="00CD289A">
        <w:rPr>
          <w:rFonts w:eastAsia="Calibri" w:cs="Times New Roman"/>
          <w:bCs/>
          <w:color w:val="4288C8"/>
          <w:sz w:val="22"/>
          <w:szCs w:val="22"/>
        </w:rPr>
        <w:lastRenderedPageBreak/>
        <w:t xml:space="preserve">If IPV is not adjusted because the independent source is not proven to be more reliable than the trader marking, there is no more reason to adjust CET1 than Fair value apart from recognising that this is a source of uncertainty that should benefit from diversification benefit. For very liquid valuation inputs such as standard yield curve, equity spot and fx spot, an IPV with accounting P&amp;L impact may be considered as not necessary as long as an independent control ensuring that FO mark is consistent with mid-market values or when marks are automatically fed from a validated source. For such cases banks would like to still benefit from the current AVA formula. </w:t>
      </w:r>
    </w:p>
    <w:p w14:paraId="44D8A489" w14:textId="77777777" w:rsidR="00E221B5" w:rsidRPr="00E221B5" w:rsidRDefault="00E221B5" w:rsidP="00E221B5">
      <w:pPr>
        <w:pStyle w:val="ListParagraph"/>
        <w:tabs>
          <w:tab w:val="left" w:pos="2127"/>
        </w:tabs>
        <w:spacing w:before="120"/>
        <w:outlineLvl w:val="0"/>
        <w:rPr>
          <w:rFonts w:eastAsia="Calibri" w:cs="Times New Roman"/>
          <w:bCs/>
          <w:color w:val="4288C8"/>
          <w:sz w:val="22"/>
          <w:szCs w:val="22"/>
        </w:rPr>
      </w:pPr>
    </w:p>
    <w:p w14:paraId="0F7CBFF3" w14:textId="087B620C" w:rsidR="008E73A4" w:rsidRPr="00CD289A" w:rsidRDefault="008E73A4" w:rsidP="00CD289A">
      <w:pPr>
        <w:pStyle w:val="ListParagraph"/>
        <w:numPr>
          <w:ilvl w:val="0"/>
          <w:numId w:val="40"/>
        </w:numPr>
        <w:tabs>
          <w:tab w:val="left" w:pos="2127"/>
        </w:tabs>
        <w:spacing w:before="120"/>
        <w:outlineLvl w:val="0"/>
        <w:rPr>
          <w:rFonts w:eastAsia="Calibri" w:cs="Times New Roman"/>
          <w:bCs/>
          <w:color w:val="4288C8"/>
          <w:sz w:val="22"/>
          <w:szCs w:val="22"/>
        </w:rPr>
      </w:pPr>
      <w:r w:rsidRPr="00CD289A">
        <w:rPr>
          <w:rFonts w:eastAsia="Calibri" w:cs="Times New Roman"/>
          <w:bCs/>
          <w:color w:val="4288C8"/>
          <w:sz w:val="22"/>
          <w:szCs w:val="22"/>
        </w:rPr>
        <w:t>Only considering the negative unadjusted IPV differences may lead to a large negative adjustment as even if these differences are a form of valuation noise, the cumulative negative noise may be important when the total noise is not. The cumulative negative IPV would be also dependent on the granularity at which the IPV is performed /recorded. At the end, it is fairer to simply record all IPV differences in Fair value than the proposed AVA treatment. The mathematical formula to be used in order to reintegrate the unadjusted IPV amount must be clearly defined with a mathematical formula in the Annex in order to avoid any misunderstanding. Based on the example p.12 we understand that the proposed formula is just a way to reintegrate “exactly” in the AVA amount the unadjusted IPV. In this case all the IPV shall be reintegrated and not only the negative part.</w:t>
      </w:r>
    </w:p>
    <w:p w14:paraId="0C550823" w14:textId="7F76FFED" w:rsidR="008E73A4" w:rsidRPr="008E73A4" w:rsidRDefault="008E73A4" w:rsidP="008E73A4">
      <w:pPr>
        <w:tabs>
          <w:tab w:val="left" w:pos="2127"/>
        </w:tabs>
        <w:spacing w:before="120"/>
        <w:outlineLvl w:val="0"/>
        <w:rPr>
          <w:rFonts w:eastAsia="Calibri" w:cs="Times New Roman"/>
          <w:bCs/>
          <w:color w:val="4288C8"/>
          <w:sz w:val="22"/>
          <w:szCs w:val="22"/>
        </w:rPr>
      </w:pPr>
      <w:r w:rsidRPr="008E73A4">
        <w:rPr>
          <w:rFonts w:eastAsia="Calibri" w:cs="Times New Roman"/>
          <w:bCs/>
          <w:color w:val="4288C8"/>
          <w:sz w:val="22"/>
          <w:szCs w:val="22"/>
        </w:rPr>
        <w:t>A more cosmetic point to highlight is that the Annex should precise that the alpha values of 0.5 or 0 should only apply in normal circumstances when the condition of article 19a and 19b are not triggered (extraordinary circumstances).</w:t>
      </w:r>
    </w:p>
    <w:p w14:paraId="0B273956" w14:textId="685D191B" w:rsidR="008E73A4" w:rsidRDefault="008E73A4" w:rsidP="008E73A4">
      <w:pPr>
        <w:tabs>
          <w:tab w:val="left" w:pos="2127"/>
        </w:tabs>
        <w:spacing w:before="120"/>
        <w:outlineLvl w:val="0"/>
        <w:rPr>
          <w:rFonts w:eastAsia="Calibri" w:cs="Times New Roman"/>
          <w:bCs/>
          <w:color w:val="4288C8"/>
          <w:sz w:val="22"/>
          <w:szCs w:val="22"/>
        </w:rPr>
      </w:pPr>
      <w:r w:rsidRPr="008E73A4">
        <w:rPr>
          <w:rFonts w:eastAsia="Calibri" w:cs="Times New Roman"/>
          <w:bCs/>
          <w:color w:val="4288C8"/>
          <w:sz w:val="22"/>
          <w:szCs w:val="22"/>
        </w:rPr>
        <w:t>Finally, on the format of the annex, we think that all these conditions for setting alpha = 0, if they are adopted, should be set in the RTS articles themselves and the annex should only contain the aggregation formula as it is the case in the current framework.</w:t>
      </w:r>
    </w:p>
    <w:p w14:paraId="48050AC2" w14:textId="77777777" w:rsidR="00C26DA8" w:rsidRPr="00C26DA8" w:rsidRDefault="00C26DA8" w:rsidP="008E73A4">
      <w:pPr>
        <w:tabs>
          <w:tab w:val="left" w:pos="2127"/>
        </w:tabs>
        <w:spacing w:before="120"/>
        <w:outlineLvl w:val="0"/>
        <w:rPr>
          <w:rFonts w:eastAsia="Calibri" w:cs="Times New Roman"/>
          <w:bCs/>
          <w:color w:val="4288C8"/>
          <w:sz w:val="22"/>
          <w:szCs w:val="22"/>
        </w:rPr>
      </w:pPr>
    </w:p>
    <w:p w14:paraId="7B767C16" w14:textId="1C5382D0" w:rsidR="008E73A4" w:rsidRPr="008E73A4" w:rsidRDefault="008E73A4" w:rsidP="008E73A4">
      <w:pPr>
        <w:tabs>
          <w:tab w:val="left" w:pos="2127"/>
        </w:tabs>
        <w:spacing w:before="120"/>
        <w:outlineLvl w:val="0"/>
        <w:rPr>
          <w:rFonts w:eastAsia="Calibri" w:cs="Times New Roman"/>
          <w:bCs/>
          <w:color w:val="4288C8"/>
          <w:szCs w:val="20"/>
        </w:rPr>
      </w:pPr>
      <w:r w:rsidRPr="00C26DA8">
        <w:rPr>
          <w:rFonts w:eastAsia="Calibri" w:cs="Times New Roman"/>
          <w:b/>
          <w:color w:val="4288C8"/>
          <w:szCs w:val="20"/>
        </w:rPr>
        <w:t>Q</w:t>
      </w:r>
      <w:r w:rsidR="00C26DA8" w:rsidRPr="00C26DA8">
        <w:rPr>
          <w:rFonts w:eastAsia="Calibri" w:cs="Times New Roman"/>
          <w:b/>
          <w:color w:val="4288C8"/>
          <w:szCs w:val="20"/>
        </w:rPr>
        <w:t xml:space="preserve">uestion </w:t>
      </w:r>
      <w:r w:rsidRPr="00C26DA8">
        <w:rPr>
          <w:rFonts w:eastAsia="Calibri" w:cs="Times New Roman"/>
          <w:b/>
          <w:color w:val="4288C8"/>
          <w:szCs w:val="20"/>
        </w:rPr>
        <w:t>14</w:t>
      </w:r>
      <w:r w:rsidR="00C26DA8">
        <w:rPr>
          <w:rFonts w:eastAsia="Calibri" w:cs="Times New Roman"/>
          <w:bCs/>
          <w:color w:val="4288C8"/>
          <w:szCs w:val="20"/>
        </w:rPr>
        <w:t xml:space="preserve"> - </w:t>
      </w:r>
      <w:r w:rsidRPr="00C26DA8">
        <w:rPr>
          <w:rFonts w:eastAsia="Calibri" w:cs="Times New Roman"/>
          <w:b/>
          <w:color w:val="4288C8"/>
          <w:szCs w:val="20"/>
        </w:rPr>
        <w:t>Other comments</w:t>
      </w:r>
    </w:p>
    <w:p w14:paraId="4565EFBE" w14:textId="4ACE21CE" w:rsidR="008E73A4" w:rsidRPr="00C26DA8" w:rsidRDefault="008E73A4" w:rsidP="008E73A4">
      <w:pPr>
        <w:tabs>
          <w:tab w:val="left" w:pos="2127"/>
        </w:tabs>
        <w:spacing w:before="120"/>
        <w:outlineLvl w:val="0"/>
        <w:rPr>
          <w:rFonts w:eastAsia="Calibri" w:cs="Times New Roman"/>
          <w:bCs/>
          <w:i/>
          <w:iCs/>
          <w:color w:val="4288C8"/>
          <w:szCs w:val="20"/>
        </w:rPr>
      </w:pPr>
      <w:r w:rsidRPr="00C26DA8">
        <w:rPr>
          <w:rFonts w:eastAsia="Calibri" w:cs="Times New Roman"/>
          <w:bCs/>
          <w:i/>
          <w:iCs/>
          <w:color w:val="4288C8"/>
          <w:szCs w:val="20"/>
        </w:rPr>
        <w:t>Do you have any other comments on this consultation paper? If you do not agree with any of the proposed requirements, please describe how you would adjust or design them in order to meet the policy objectives that the proposals try to achieve. When giving your answer, please provide the rationale and relevant evidence supporting your proposal.</w:t>
      </w:r>
    </w:p>
    <w:p w14:paraId="2C50F004" w14:textId="7B1FAF4D" w:rsidR="008E73A4" w:rsidRPr="00C26DA8" w:rsidRDefault="008E73A4" w:rsidP="008E73A4">
      <w:pPr>
        <w:tabs>
          <w:tab w:val="left" w:pos="2127"/>
        </w:tabs>
        <w:spacing w:before="120"/>
        <w:outlineLvl w:val="0"/>
        <w:rPr>
          <w:rFonts w:eastAsia="Calibri" w:cs="Times New Roman"/>
          <w:bCs/>
          <w:color w:val="4288C8"/>
          <w:sz w:val="22"/>
          <w:szCs w:val="22"/>
        </w:rPr>
      </w:pPr>
      <w:r w:rsidRPr="00C26DA8">
        <w:rPr>
          <w:rFonts w:eastAsia="Calibri" w:cs="Times New Roman"/>
          <w:bCs/>
          <w:color w:val="4288C8"/>
          <w:sz w:val="22"/>
          <w:szCs w:val="22"/>
        </w:rPr>
        <w:t>Operational risk AVA:</w:t>
      </w:r>
    </w:p>
    <w:p w14:paraId="58A44B7F" w14:textId="77777777" w:rsidR="004B4274" w:rsidRDefault="00A94739" w:rsidP="008E73A4">
      <w:pPr>
        <w:tabs>
          <w:tab w:val="left" w:pos="2127"/>
        </w:tabs>
        <w:spacing w:before="120"/>
        <w:outlineLvl w:val="0"/>
        <w:rPr>
          <w:rFonts w:eastAsia="Calibri" w:cs="Times New Roman"/>
          <w:bCs/>
          <w:color w:val="4288C8"/>
          <w:sz w:val="22"/>
          <w:szCs w:val="22"/>
        </w:rPr>
      </w:pPr>
      <w:r w:rsidRPr="00A94739">
        <w:rPr>
          <w:rFonts w:eastAsia="Calibri" w:cs="Times New Roman"/>
          <w:bCs/>
          <w:color w:val="4288C8"/>
          <w:sz w:val="22"/>
          <w:szCs w:val="22"/>
        </w:rPr>
        <w:t xml:space="preserve">We would like to make a point on Article 17 </w:t>
      </w:r>
      <w:proofErr w:type="spellStart"/>
      <w:r w:rsidRPr="00A94739">
        <w:rPr>
          <w:rFonts w:eastAsia="Calibri" w:cs="Times New Roman"/>
          <w:bCs/>
          <w:color w:val="4288C8"/>
          <w:sz w:val="22"/>
          <w:szCs w:val="22"/>
        </w:rPr>
        <w:t>OpRisk</w:t>
      </w:r>
      <w:proofErr w:type="spellEnd"/>
      <w:r w:rsidRPr="00A94739">
        <w:rPr>
          <w:rFonts w:eastAsia="Calibri" w:cs="Times New Roman"/>
          <w:bCs/>
          <w:color w:val="4288C8"/>
          <w:sz w:val="22"/>
          <w:szCs w:val="22"/>
        </w:rPr>
        <w:t xml:space="preserve"> AVAs, even though there is no respective question included in the consultation.</w:t>
      </w:r>
      <w:r>
        <w:rPr>
          <w:rFonts w:eastAsia="Calibri" w:cs="Times New Roman"/>
          <w:bCs/>
          <w:color w:val="4288C8"/>
          <w:sz w:val="22"/>
          <w:szCs w:val="22"/>
        </w:rPr>
        <w:t xml:space="preserve"> </w:t>
      </w:r>
    </w:p>
    <w:p w14:paraId="3D2C2055" w14:textId="5BC657ED" w:rsidR="004B4274" w:rsidRDefault="004B4274" w:rsidP="008E73A4">
      <w:pPr>
        <w:tabs>
          <w:tab w:val="left" w:pos="2127"/>
        </w:tabs>
        <w:spacing w:before="120"/>
        <w:outlineLvl w:val="0"/>
        <w:rPr>
          <w:rFonts w:eastAsia="Calibri" w:cs="Times New Roman"/>
          <w:bCs/>
          <w:color w:val="4288C8"/>
          <w:sz w:val="22"/>
          <w:szCs w:val="22"/>
        </w:rPr>
      </w:pPr>
      <w:r w:rsidRPr="004B4274">
        <w:rPr>
          <w:rFonts w:eastAsia="Calibri" w:cs="Times New Roman"/>
          <w:bCs/>
          <w:color w:val="4288C8"/>
          <w:sz w:val="22"/>
          <w:szCs w:val="22"/>
        </w:rPr>
        <w:t>In particular, we think that the AVA size is not a good indicator of Operational Risk. As the AVA is applicable to all products, regardless of their complexity, it penalises conservative business models such as market making.</w:t>
      </w:r>
    </w:p>
    <w:p w14:paraId="0DB308FF" w14:textId="22337ABC" w:rsidR="003D0163" w:rsidRPr="000843CA" w:rsidRDefault="003D0163" w:rsidP="003D0163">
      <w:pPr>
        <w:tabs>
          <w:tab w:val="left" w:pos="2127"/>
        </w:tabs>
        <w:spacing w:before="120"/>
        <w:outlineLvl w:val="0"/>
        <w:rPr>
          <w:rFonts w:eastAsia="Calibri" w:cs="Times New Roman"/>
          <w:bCs/>
          <w:color w:val="4288C8"/>
          <w:sz w:val="22"/>
          <w:szCs w:val="22"/>
        </w:rPr>
      </w:pPr>
      <w:r w:rsidRPr="000843CA">
        <w:rPr>
          <w:rFonts w:eastAsia="Calibri" w:cs="Times New Roman"/>
          <w:bCs/>
          <w:color w:val="4288C8"/>
          <w:sz w:val="22"/>
          <w:szCs w:val="22"/>
        </w:rPr>
        <w:lastRenderedPageBreak/>
        <w:t>Additionally, from a conceptual point of view, AVA size is not a good indicator of Op</w:t>
      </w:r>
      <w:r w:rsidR="003C18E8">
        <w:rPr>
          <w:rFonts w:eastAsia="Calibri" w:cs="Times New Roman"/>
          <w:bCs/>
          <w:color w:val="4288C8"/>
          <w:sz w:val="22"/>
          <w:szCs w:val="22"/>
        </w:rPr>
        <w:t>erational</w:t>
      </w:r>
      <w:r w:rsidRPr="000843CA">
        <w:rPr>
          <w:rFonts w:eastAsia="Calibri" w:cs="Times New Roman"/>
          <w:bCs/>
          <w:color w:val="4288C8"/>
          <w:sz w:val="22"/>
          <w:szCs w:val="22"/>
        </w:rPr>
        <w:t xml:space="preserve"> Risk</w:t>
      </w:r>
      <w:r w:rsidR="003C18E8">
        <w:rPr>
          <w:rFonts w:eastAsia="Calibri" w:cs="Times New Roman"/>
          <w:bCs/>
          <w:color w:val="4288C8"/>
          <w:sz w:val="22"/>
          <w:szCs w:val="22"/>
        </w:rPr>
        <w:t xml:space="preserve"> as it </w:t>
      </w:r>
      <w:r w:rsidRPr="000843CA">
        <w:rPr>
          <w:rFonts w:eastAsia="Calibri" w:cs="Times New Roman"/>
          <w:bCs/>
          <w:color w:val="4288C8"/>
          <w:sz w:val="22"/>
          <w:szCs w:val="22"/>
        </w:rPr>
        <w:t>disincentives institutions from implementing conservative practices due to the subsequent increases in Op</w:t>
      </w:r>
      <w:r w:rsidR="00AB248C">
        <w:rPr>
          <w:rFonts w:eastAsia="Calibri" w:cs="Times New Roman"/>
          <w:bCs/>
          <w:color w:val="4288C8"/>
          <w:sz w:val="22"/>
          <w:szCs w:val="22"/>
        </w:rPr>
        <w:t>erational</w:t>
      </w:r>
      <w:r w:rsidRPr="000843CA">
        <w:rPr>
          <w:rFonts w:eastAsia="Calibri" w:cs="Times New Roman"/>
          <w:bCs/>
          <w:color w:val="4288C8"/>
          <w:sz w:val="22"/>
          <w:szCs w:val="22"/>
        </w:rPr>
        <w:t xml:space="preserve"> Risk AVA, given it is a function of the overall MPU &amp; CoC. </w:t>
      </w:r>
      <w:r w:rsidR="00AB248C">
        <w:rPr>
          <w:rFonts w:eastAsia="Calibri" w:cs="Times New Roman"/>
          <w:bCs/>
          <w:color w:val="4288C8"/>
          <w:sz w:val="22"/>
          <w:szCs w:val="22"/>
        </w:rPr>
        <w:t xml:space="preserve">Besides, this is a </w:t>
      </w:r>
      <w:r w:rsidR="00E623F7" w:rsidRPr="00E623F7">
        <w:rPr>
          <w:rFonts w:eastAsia="Calibri" w:cs="Times New Roman"/>
          <w:bCs/>
          <w:color w:val="4288C8"/>
          <w:sz w:val="22"/>
          <w:szCs w:val="22"/>
        </w:rPr>
        <w:t>double counting of the operational risk RWA on valuation, as the full AMA risk is replaced by the Standard Approach of Operational risk. Adding another dedicated Operational risk charge will duplicate what was earlier in AMA and now in the Standard Approach.</w:t>
      </w:r>
      <w:r w:rsidR="00E623F7">
        <w:rPr>
          <w:rFonts w:eastAsia="Calibri" w:cs="Times New Roman"/>
          <w:bCs/>
          <w:color w:val="4288C8"/>
          <w:sz w:val="22"/>
          <w:szCs w:val="22"/>
        </w:rPr>
        <w:t xml:space="preserve"> </w:t>
      </w:r>
    </w:p>
    <w:p w14:paraId="7D4BB6A5" w14:textId="608098FD" w:rsidR="003D0163" w:rsidRPr="00C26DA8" w:rsidRDefault="003D0163" w:rsidP="008E73A4">
      <w:pPr>
        <w:tabs>
          <w:tab w:val="left" w:pos="2127"/>
        </w:tabs>
        <w:spacing w:before="120"/>
        <w:outlineLvl w:val="0"/>
        <w:rPr>
          <w:rFonts w:eastAsia="Calibri" w:cs="Times New Roman"/>
          <w:bCs/>
          <w:color w:val="4288C8"/>
          <w:sz w:val="22"/>
          <w:szCs w:val="22"/>
        </w:rPr>
      </w:pPr>
      <w:r w:rsidRPr="000843CA">
        <w:rPr>
          <w:rFonts w:eastAsia="Calibri" w:cs="Times New Roman"/>
          <w:bCs/>
          <w:color w:val="4288C8"/>
          <w:sz w:val="22"/>
          <w:szCs w:val="22"/>
        </w:rPr>
        <w:t>We would therefore kindly request Operational Risk AVA to disappear from the new RTS.</w:t>
      </w:r>
    </w:p>
    <w:p w14:paraId="1E72DB8D" w14:textId="6CE23084" w:rsidR="008E73A4" w:rsidRPr="00C26DA8" w:rsidRDefault="008E73A4" w:rsidP="008E73A4">
      <w:pPr>
        <w:tabs>
          <w:tab w:val="left" w:pos="2127"/>
        </w:tabs>
        <w:spacing w:before="120"/>
        <w:outlineLvl w:val="0"/>
        <w:rPr>
          <w:rFonts w:eastAsia="Calibri" w:cs="Times New Roman"/>
          <w:bCs/>
          <w:color w:val="4288C8"/>
          <w:sz w:val="22"/>
          <w:szCs w:val="22"/>
        </w:rPr>
      </w:pPr>
      <w:r w:rsidRPr="00C26DA8">
        <w:rPr>
          <w:rFonts w:eastAsia="Calibri" w:cs="Times New Roman"/>
          <w:bCs/>
          <w:color w:val="4288C8"/>
          <w:sz w:val="22"/>
          <w:szCs w:val="22"/>
        </w:rPr>
        <w:t>General comments:</w:t>
      </w:r>
    </w:p>
    <w:p w14:paraId="17953B5F" w14:textId="3C6C3409" w:rsidR="008E73A4" w:rsidRPr="00C26DA8" w:rsidRDefault="008E73A4" w:rsidP="008E73A4">
      <w:pPr>
        <w:tabs>
          <w:tab w:val="left" w:pos="2127"/>
        </w:tabs>
        <w:spacing w:before="120"/>
        <w:outlineLvl w:val="0"/>
        <w:rPr>
          <w:rFonts w:eastAsia="Calibri" w:cs="Times New Roman"/>
          <w:bCs/>
          <w:color w:val="4288C8"/>
          <w:sz w:val="22"/>
          <w:szCs w:val="22"/>
        </w:rPr>
      </w:pPr>
      <w:r w:rsidRPr="00C26DA8">
        <w:rPr>
          <w:rFonts w:eastAsia="Calibri" w:cs="Times New Roman"/>
          <w:bCs/>
          <w:color w:val="4288C8"/>
          <w:sz w:val="22"/>
          <w:szCs w:val="22"/>
        </w:rPr>
        <w:t xml:space="preserve">The revision of the Prudent valuation RTS was not mandated by CRR apart from the definition and impact of the extraordinary circumstances to avoid pro-cyclical effect of capital measure (as mandated by CRR3 article 34). It appears that the highest motivation for this proposed revision is to create a better EU level playing field as there seems to be a diversity of application of the current framework. </w:t>
      </w:r>
    </w:p>
    <w:p w14:paraId="29F358CA" w14:textId="0659DFC7" w:rsidR="008E73A4" w:rsidRPr="00C26DA8" w:rsidRDefault="008E73A4" w:rsidP="008E73A4">
      <w:pPr>
        <w:tabs>
          <w:tab w:val="left" w:pos="2127"/>
        </w:tabs>
        <w:spacing w:before="120"/>
        <w:outlineLvl w:val="0"/>
        <w:rPr>
          <w:rFonts w:eastAsia="Calibri" w:cs="Times New Roman"/>
          <w:bCs/>
          <w:color w:val="4288C8"/>
          <w:sz w:val="22"/>
          <w:szCs w:val="22"/>
        </w:rPr>
      </w:pPr>
      <w:r w:rsidRPr="00C26DA8">
        <w:rPr>
          <w:rFonts w:eastAsia="Calibri" w:cs="Times New Roman"/>
          <w:bCs/>
          <w:color w:val="4288C8"/>
          <w:sz w:val="22"/>
          <w:szCs w:val="22"/>
        </w:rPr>
        <w:t>The revised framework is indeed more prescriptive</w:t>
      </w:r>
      <w:r w:rsidR="00C26DA8">
        <w:rPr>
          <w:rFonts w:eastAsia="Calibri" w:cs="Times New Roman"/>
          <w:bCs/>
          <w:color w:val="4288C8"/>
          <w:sz w:val="22"/>
          <w:szCs w:val="22"/>
        </w:rPr>
        <w:t xml:space="preserve">, while it </w:t>
      </w:r>
      <w:r w:rsidRPr="00C26DA8">
        <w:rPr>
          <w:rFonts w:eastAsia="Calibri" w:cs="Times New Roman"/>
          <w:bCs/>
          <w:color w:val="4288C8"/>
          <w:sz w:val="22"/>
          <w:szCs w:val="22"/>
        </w:rPr>
        <w:t xml:space="preserve">is </w:t>
      </w:r>
      <w:r w:rsidR="00C26DA8">
        <w:rPr>
          <w:rFonts w:eastAsia="Calibri" w:cs="Times New Roman"/>
          <w:bCs/>
          <w:color w:val="4288C8"/>
          <w:sz w:val="22"/>
          <w:szCs w:val="22"/>
        </w:rPr>
        <w:t>at the same time so</w:t>
      </w:r>
      <w:r w:rsidRPr="00C26DA8">
        <w:rPr>
          <w:rFonts w:eastAsia="Calibri" w:cs="Times New Roman"/>
          <w:bCs/>
          <w:color w:val="4288C8"/>
          <w:sz w:val="22"/>
          <w:szCs w:val="22"/>
        </w:rPr>
        <w:t xml:space="preserve"> complex and open to interpretation,</w:t>
      </w:r>
      <w:r w:rsidR="00C26DA8">
        <w:rPr>
          <w:rFonts w:eastAsia="Calibri" w:cs="Times New Roman"/>
          <w:bCs/>
          <w:color w:val="4288C8"/>
          <w:sz w:val="22"/>
          <w:szCs w:val="22"/>
        </w:rPr>
        <w:t xml:space="preserve"> hence</w:t>
      </w:r>
      <w:r w:rsidRPr="00C26DA8">
        <w:rPr>
          <w:rFonts w:eastAsia="Calibri" w:cs="Times New Roman"/>
          <w:bCs/>
          <w:color w:val="4288C8"/>
          <w:sz w:val="22"/>
          <w:szCs w:val="22"/>
        </w:rPr>
        <w:t xml:space="preserve"> it is unlikely </w:t>
      </w:r>
      <w:r w:rsidR="00C03F4C">
        <w:rPr>
          <w:rFonts w:eastAsia="Calibri" w:cs="Times New Roman"/>
          <w:bCs/>
          <w:color w:val="4288C8"/>
          <w:sz w:val="22"/>
          <w:szCs w:val="22"/>
        </w:rPr>
        <w:t>to</w:t>
      </w:r>
      <w:r w:rsidRPr="00C26DA8">
        <w:rPr>
          <w:rFonts w:eastAsia="Calibri" w:cs="Times New Roman"/>
          <w:bCs/>
          <w:color w:val="4288C8"/>
          <w:sz w:val="22"/>
          <w:szCs w:val="22"/>
        </w:rPr>
        <w:t xml:space="preserve"> lead to a </w:t>
      </w:r>
      <w:r w:rsidR="00C03F4C">
        <w:rPr>
          <w:rFonts w:eastAsia="Calibri" w:cs="Times New Roman"/>
          <w:bCs/>
          <w:color w:val="4288C8"/>
          <w:sz w:val="22"/>
          <w:szCs w:val="22"/>
        </w:rPr>
        <w:t>greater level of</w:t>
      </w:r>
      <w:r w:rsidRPr="00C26DA8">
        <w:rPr>
          <w:rFonts w:eastAsia="Calibri" w:cs="Times New Roman"/>
          <w:bCs/>
          <w:color w:val="4288C8"/>
          <w:sz w:val="22"/>
          <w:szCs w:val="22"/>
        </w:rPr>
        <w:t xml:space="preserve"> harmonisation of application. Furthermore, the cost in term</w:t>
      </w:r>
      <w:r w:rsidR="00C03F4C">
        <w:rPr>
          <w:rFonts w:eastAsia="Calibri" w:cs="Times New Roman"/>
          <w:bCs/>
          <w:color w:val="4288C8"/>
          <w:sz w:val="22"/>
          <w:szCs w:val="22"/>
        </w:rPr>
        <w:t>s</w:t>
      </w:r>
      <w:r w:rsidRPr="00C26DA8">
        <w:rPr>
          <w:rFonts w:eastAsia="Calibri" w:cs="Times New Roman"/>
          <w:bCs/>
          <w:color w:val="4288C8"/>
          <w:sz w:val="22"/>
          <w:szCs w:val="22"/>
        </w:rPr>
        <w:t xml:space="preserve"> of capital requirements and operational complexity is considered prohibitive by members. Adding that this will not be implemented in the US and also that the PRA has not expressed any will to follow the same road for the UK, it is foreseen that this proposal will be a driver of supremacy of the non-European players on the European market.</w:t>
      </w:r>
    </w:p>
    <w:p w14:paraId="1E900C55" w14:textId="3750B85B" w:rsidR="008E73A4" w:rsidRPr="00C26DA8" w:rsidRDefault="008E73A4" w:rsidP="008E73A4">
      <w:pPr>
        <w:tabs>
          <w:tab w:val="left" w:pos="2127"/>
        </w:tabs>
        <w:spacing w:before="120"/>
        <w:outlineLvl w:val="0"/>
        <w:rPr>
          <w:rFonts w:eastAsia="Calibri" w:cs="Times New Roman"/>
          <w:bCs/>
          <w:color w:val="4288C8"/>
          <w:sz w:val="22"/>
          <w:szCs w:val="22"/>
        </w:rPr>
      </w:pPr>
      <w:r w:rsidRPr="00C26DA8">
        <w:rPr>
          <w:rFonts w:eastAsia="Calibri" w:cs="Times New Roman"/>
          <w:bCs/>
          <w:color w:val="4288C8"/>
          <w:sz w:val="22"/>
          <w:szCs w:val="22"/>
        </w:rPr>
        <w:t>If</w:t>
      </w:r>
      <w:r w:rsidR="00C03F4C">
        <w:rPr>
          <w:rFonts w:eastAsia="Calibri" w:cs="Times New Roman"/>
          <w:bCs/>
          <w:color w:val="4288C8"/>
          <w:sz w:val="22"/>
          <w:szCs w:val="22"/>
        </w:rPr>
        <w:t xml:space="preserve">, </w:t>
      </w:r>
      <w:r w:rsidRPr="00C26DA8">
        <w:rPr>
          <w:rFonts w:eastAsia="Calibri" w:cs="Times New Roman"/>
          <w:bCs/>
          <w:color w:val="4288C8"/>
          <w:sz w:val="22"/>
          <w:szCs w:val="22"/>
        </w:rPr>
        <w:t xml:space="preserve">for the </w:t>
      </w:r>
      <w:r w:rsidR="00C03F4C">
        <w:rPr>
          <w:rFonts w:eastAsia="Calibri" w:cs="Times New Roman"/>
          <w:bCs/>
          <w:color w:val="4288C8"/>
          <w:sz w:val="22"/>
          <w:szCs w:val="22"/>
        </w:rPr>
        <w:t>purpose</w:t>
      </w:r>
      <w:r w:rsidRPr="00C26DA8">
        <w:rPr>
          <w:rFonts w:eastAsia="Calibri" w:cs="Times New Roman"/>
          <w:bCs/>
          <w:color w:val="4288C8"/>
          <w:sz w:val="22"/>
          <w:szCs w:val="22"/>
        </w:rPr>
        <w:t xml:space="preserve"> of EU harmonisation, a fall-back approach is meant to be used whenever an economic method would require subjective judgements, this is probably not the right way to motivate</w:t>
      </w:r>
      <w:r w:rsidR="00C03F4C">
        <w:rPr>
          <w:rFonts w:eastAsia="Calibri" w:cs="Times New Roman"/>
          <w:bCs/>
          <w:color w:val="4288C8"/>
          <w:sz w:val="22"/>
          <w:szCs w:val="22"/>
        </w:rPr>
        <w:t xml:space="preserve"> a</w:t>
      </w:r>
      <w:r w:rsidRPr="00C26DA8">
        <w:rPr>
          <w:rFonts w:eastAsia="Calibri" w:cs="Times New Roman"/>
          <w:bCs/>
          <w:color w:val="4288C8"/>
          <w:sz w:val="22"/>
          <w:szCs w:val="22"/>
        </w:rPr>
        <w:t xml:space="preserve"> financial institution to analyse their valuation uncertainty with a critical mind. A method that </w:t>
      </w:r>
      <w:r w:rsidR="00C03F4C">
        <w:rPr>
          <w:rFonts w:eastAsia="Calibri" w:cs="Times New Roman"/>
          <w:bCs/>
          <w:color w:val="4288C8"/>
          <w:sz w:val="22"/>
          <w:szCs w:val="22"/>
        </w:rPr>
        <w:t>could</w:t>
      </w:r>
      <w:r w:rsidRPr="00C26DA8">
        <w:rPr>
          <w:rFonts w:eastAsia="Calibri" w:cs="Times New Roman"/>
          <w:bCs/>
          <w:color w:val="4288C8"/>
          <w:sz w:val="22"/>
          <w:szCs w:val="22"/>
        </w:rPr>
        <w:t xml:space="preserve"> be challenged by supervisory authorities is always better than an arbitrary forfeit unless harmonisation and simplicity are the only goal.</w:t>
      </w:r>
    </w:p>
    <w:p w14:paraId="082C76DE" w14:textId="3EF0AF8E" w:rsidR="008E73A4" w:rsidRPr="00C26DA8" w:rsidRDefault="008E73A4" w:rsidP="008E73A4">
      <w:pPr>
        <w:tabs>
          <w:tab w:val="left" w:pos="2127"/>
        </w:tabs>
        <w:spacing w:before="120"/>
        <w:outlineLvl w:val="0"/>
        <w:rPr>
          <w:rFonts w:eastAsia="Calibri" w:cs="Times New Roman"/>
          <w:bCs/>
          <w:color w:val="4288C8"/>
          <w:sz w:val="22"/>
          <w:szCs w:val="22"/>
        </w:rPr>
      </w:pPr>
      <w:r w:rsidRPr="00C26DA8">
        <w:rPr>
          <w:rFonts w:eastAsia="Calibri" w:cs="Times New Roman"/>
          <w:bCs/>
          <w:color w:val="4288C8"/>
          <w:sz w:val="22"/>
          <w:szCs w:val="22"/>
        </w:rPr>
        <w:t>Prudent value regulation is only applicable in the European Union. It means that US banks that are the main competitors of the largest European banks are not affected by it. In addition, the revised framework will also not apply to UK banks given that EBA regulation has no longer effect in the UK, apart from existing ones integrated in UK law. We are not aware that PRA intends to copy this revised framework in the UK regulation. This is contrary to the level playing field intention at international level.</w:t>
      </w:r>
    </w:p>
    <w:p w14:paraId="42602762" w14:textId="1F3EBF0B" w:rsidR="00644DDC" w:rsidRPr="00C26DA8" w:rsidRDefault="008E73A4" w:rsidP="008E73A4">
      <w:pPr>
        <w:tabs>
          <w:tab w:val="left" w:pos="2127"/>
        </w:tabs>
        <w:spacing w:before="120"/>
        <w:outlineLvl w:val="0"/>
        <w:rPr>
          <w:rFonts w:eastAsia="Calibri" w:cs="Times New Roman"/>
          <w:bCs/>
          <w:color w:val="4288C8"/>
          <w:sz w:val="22"/>
          <w:szCs w:val="22"/>
        </w:rPr>
      </w:pPr>
      <w:r w:rsidRPr="00C26DA8">
        <w:rPr>
          <w:rFonts w:eastAsia="Calibri" w:cs="Times New Roman"/>
          <w:bCs/>
          <w:color w:val="4288C8"/>
          <w:sz w:val="22"/>
          <w:szCs w:val="22"/>
        </w:rPr>
        <w:t xml:space="preserve">As the result of all these comments, we </w:t>
      </w:r>
      <w:r w:rsidR="00C03F4C">
        <w:rPr>
          <w:rFonts w:eastAsia="Calibri" w:cs="Times New Roman"/>
          <w:bCs/>
          <w:color w:val="4288C8"/>
          <w:sz w:val="22"/>
          <w:szCs w:val="22"/>
        </w:rPr>
        <w:t>believe</w:t>
      </w:r>
      <w:r w:rsidRPr="00C26DA8">
        <w:rPr>
          <w:rFonts w:eastAsia="Calibri" w:cs="Times New Roman"/>
          <w:bCs/>
          <w:color w:val="4288C8"/>
          <w:sz w:val="22"/>
          <w:szCs w:val="22"/>
        </w:rPr>
        <w:t xml:space="preserve"> that the revised framework </w:t>
      </w:r>
      <w:r w:rsidR="00C03F4C">
        <w:rPr>
          <w:rFonts w:eastAsia="Calibri" w:cs="Times New Roman"/>
          <w:bCs/>
          <w:color w:val="4288C8"/>
          <w:sz w:val="22"/>
          <w:szCs w:val="22"/>
        </w:rPr>
        <w:t>was not</w:t>
      </w:r>
      <w:r w:rsidRPr="00C26DA8">
        <w:rPr>
          <w:rFonts w:eastAsia="Calibri" w:cs="Times New Roman"/>
          <w:bCs/>
          <w:color w:val="4288C8"/>
          <w:sz w:val="22"/>
          <w:szCs w:val="22"/>
        </w:rPr>
        <w:t xml:space="preserve"> requested,</w:t>
      </w:r>
      <w:r w:rsidR="00C03F4C">
        <w:rPr>
          <w:rFonts w:eastAsia="Calibri" w:cs="Times New Roman"/>
          <w:bCs/>
          <w:color w:val="4288C8"/>
          <w:sz w:val="22"/>
          <w:szCs w:val="22"/>
        </w:rPr>
        <w:t xml:space="preserve"> therefore</w:t>
      </w:r>
      <w:r w:rsidRPr="00C26DA8">
        <w:rPr>
          <w:rFonts w:eastAsia="Calibri" w:cs="Times New Roman"/>
          <w:bCs/>
          <w:color w:val="4288C8"/>
          <w:sz w:val="22"/>
          <w:szCs w:val="22"/>
        </w:rPr>
        <w:t xml:space="preserve"> it is inappropriate and </w:t>
      </w:r>
      <w:r w:rsidR="00C03F4C">
        <w:rPr>
          <w:rFonts w:eastAsia="Calibri" w:cs="Times New Roman"/>
          <w:bCs/>
          <w:color w:val="4288C8"/>
          <w:sz w:val="22"/>
          <w:szCs w:val="22"/>
        </w:rPr>
        <w:t xml:space="preserve">it </w:t>
      </w:r>
      <w:r w:rsidRPr="00C26DA8">
        <w:rPr>
          <w:rFonts w:eastAsia="Calibri" w:cs="Times New Roman"/>
          <w:bCs/>
          <w:color w:val="4288C8"/>
          <w:sz w:val="22"/>
          <w:szCs w:val="22"/>
        </w:rPr>
        <w:t xml:space="preserve">should be discarded. The RTS </w:t>
      </w:r>
      <w:r w:rsidR="00C03F4C">
        <w:rPr>
          <w:rFonts w:eastAsia="Calibri" w:cs="Times New Roman"/>
          <w:bCs/>
          <w:color w:val="4288C8"/>
          <w:sz w:val="22"/>
          <w:szCs w:val="22"/>
        </w:rPr>
        <w:t>should rather</w:t>
      </w:r>
      <w:r w:rsidRPr="00C26DA8">
        <w:rPr>
          <w:rFonts w:eastAsia="Calibri" w:cs="Times New Roman"/>
          <w:bCs/>
          <w:color w:val="4288C8"/>
          <w:sz w:val="22"/>
          <w:szCs w:val="22"/>
        </w:rPr>
        <w:t xml:space="preserve"> focus on the mandate given by CRR through </w:t>
      </w:r>
      <w:r w:rsidR="00C03F4C">
        <w:rPr>
          <w:rFonts w:eastAsia="Calibri" w:cs="Times New Roman"/>
          <w:bCs/>
          <w:color w:val="4288C8"/>
          <w:sz w:val="22"/>
          <w:szCs w:val="22"/>
        </w:rPr>
        <w:t>A</w:t>
      </w:r>
      <w:r w:rsidRPr="00C26DA8">
        <w:rPr>
          <w:rFonts w:eastAsia="Calibri" w:cs="Times New Roman"/>
          <w:bCs/>
          <w:color w:val="4288C8"/>
          <w:sz w:val="22"/>
          <w:szCs w:val="22"/>
        </w:rPr>
        <w:t>rticle 34.</w:t>
      </w:r>
    </w:p>
    <w:p w14:paraId="14686A17" w14:textId="77777777" w:rsidR="00644DDC" w:rsidRDefault="00644DDC" w:rsidP="005B7427">
      <w:pPr>
        <w:tabs>
          <w:tab w:val="left" w:pos="2127"/>
        </w:tabs>
        <w:spacing w:before="120"/>
        <w:outlineLvl w:val="0"/>
        <w:rPr>
          <w:rFonts w:eastAsia="Calibri" w:cs="Times New Roman"/>
          <w:bCs/>
          <w:color w:val="4288C8"/>
          <w:szCs w:val="20"/>
        </w:rPr>
      </w:pPr>
    </w:p>
    <w:p w14:paraId="085AF855" w14:textId="20A4EB40" w:rsidR="00644DDC" w:rsidRDefault="00CA6AD4" w:rsidP="005B7427">
      <w:pPr>
        <w:tabs>
          <w:tab w:val="left" w:pos="2127"/>
        </w:tabs>
        <w:spacing w:before="120"/>
        <w:outlineLvl w:val="0"/>
        <w:rPr>
          <w:rFonts w:eastAsia="Calibri" w:cs="Times New Roman"/>
          <w:bCs/>
          <w:color w:val="4288C8"/>
          <w:szCs w:val="20"/>
        </w:rPr>
      </w:pPr>
      <w:r w:rsidRPr="00EA6837">
        <w:rPr>
          <w:rFonts w:eastAsia="Calibri" w:cs="Times New Roman"/>
          <w:b/>
          <w:i/>
          <w:iCs/>
          <w:color w:val="4288C8"/>
          <w:szCs w:val="20"/>
        </w:rPr>
        <w:t>Appendix</w:t>
      </w:r>
      <w:r w:rsidRPr="00CA6AD4">
        <w:rPr>
          <w:rFonts w:eastAsia="Calibri" w:cs="Times New Roman"/>
          <w:bCs/>
          <w:color w:val="4288C8"/>
          <w:szCs w:val="20"/>
        </w:rPr>
        <w:t>: Proposed methodology to offset accounting adjustment from deferred Day One Profit to AVA</w:t>
      </w:r>
      <w:r>
        <w:rPr>
          <w:rFonts w:eastAsia="Calibri" w:cs="Times New Roman"/>
          <w:bCs/>
          <w:color w:val="4288C8"/>
          <w:szCs w:val="20"/>
        </w:rPr>
        <w:t>.</w:t>
      </w:r>
    </w:p>
    <w:bookmarkStart w:id="6" w:name="_MON_1774418176"/>
    <w:bookmarkEnd w:id="6"/>
    <w:p w14:paraId="19579FD6" w14:textId="77777777" w:rsidR="00635F15" w:rsidRDefault="00635F15" w:rsidP="00635F15">
      <w:pPr>
        <w:tabs>
          <w:tab w:val="left" w:pos="2127"/>
        </w:tabs>
        <w:spacing w:before="120"/>
        <w:outlineLvl w:val="0"/>
        <w:rPr>
          <w:rFonts w:eastAsia="Calibri" w:cs="Times New Roman"/>
          <w:bCs/>
          <w:color w:val="4288C8"/>
          <w:szCs w:val="20"/>
        </w:rPr>
      </w:pPr>
      <w:r>
        <w:rPr>
          <w:rFonts w:eastAsia="Calibri" w:cs="Times New Roman"/>
          <w:bCs/>
          <w:color w:val="4288C8"/>
          <w:szCs w:val="20"/>
        </w:rPr>
        <w:object w:dxaOrig="980" w:dyaOrig="640" w14:anchorId="210A0B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pt;height:32.5pt" o:ole="">
            <v:imagedata r:id="rId11" o:title=""/>
          </v:shape>
          <o:OLEObject Type="Embed" ProgID="Word.Document.12" ShapeID="_x0000_i1025" DrawAspect="Icon" ObjectID="_1774767857" r:id="rId12">
            <o:FieldCodes>\s</o:FieldCodes>
          </o:OLEObject>
        </w:object>
      </w:r>
    </w:p>
    <w:p w14:paraId="519B969A" w14:textId="77777777" w:rsidR="00635F15" w:rsidRDefault="00635F15" w:rsidP="00635F15">
      <w:pPr>
        <w:tabs>
          <w:tab w:val="left" w:pos="2127"/>
        </w:tabs>
        <w:spacing w:before="120"/>
        <w:outlineLvl w:val="0"/>
        <w:rPr>
          <w:rFonts w:eastAsia="Calibri" w:cs="Times New Roman"/>
          <w:bCs/>
          <w:color w:val="4288C8"/>
          <w:szCs w:val="20"/>
        </w:rPr>
      </w:pPr>
    </w:p>
    <w:p w14:paraId="33E8F9A1" w14:textId="77777777" w:rsidR="00CA6AD4" w:rsidRDefault="00CA6AD4" w:rsidP="005B7427">
      <w:pPr>
        <w:tabs>
          <w:tab w:val="left" w:pos="2127"/>
        </w:tabs>
        <w:spacing w:before="120"/>
        <w:outlineLvl w:val="0"/>
        <w:rPr>
          <w:rFonts w:eastAsia="Calibri" w:cs="Times New Roman"/>
          <w:bCs/>
          <w:color w:val="4288C8"/>
          <w:szCs w:val="20"/>
        </w:rPr>
      </w:pPr>
    </w:p>
    <w:p w14:paraId="34DF2B46" w14:textId="77777777" w:rsidR="00CA6AD4" w:rsidRDefault="00CA6AD4" w:rsidP="005B7427">
      <w:pPr>
        <w:tabs>
          <w:tab w:val="left" w:pos="2127"/>
        </w:tabs>
        <w:spacing w:before="120"/>
        <w:outlineLvl w:val="0"/>
        <w:rPr>
          <w:rFonts w:eastAsia="Calibri" w:cs="Times New Roman"/>
          <w:bCs/>
          <w:color w:val="4288C8"/>
          <w:szCs w:val="20"/>
        </w:rPr>
      </w:pPr>
    </w:p>
    <w:p w14:paraId="7B7131BC" w14:textId="77777777" w:rsidR="00644DDC" w:rsidRDefault="00644DDC" w:rsidP="005B7427">
      <w:pPr>
        <w:tabs>
          <w:tab w:val="left" w:pos="2127"/>
        </w:tabs>
        <w:spacing w:before="120"/>
        <w:outlineLvl w:val="0"/>
        <w:rPr>
          <w:rFonts w:eastAsia="Calibri" w:cs="Times New Roman"/>
          <w:bCs/>
          <w:color w:val="4288C8"/>
          <w:szCs w:val="20"/>
        </w:rPr>
      </w:pPr>
    </w:p>
    <w:p w14:paraId="20D79EC4" w14:textId="77777777" w:rsidR="00644DDC" w:rsidRDefault="00644DDC" w:rsidP="005B7427">
      <w:pPr>
        <w:tabs>
          <w:tab w:val="left" w:pos="2127"/>
        </w:tabs>
        <w:spacing w:before="120"/>
        <w:outlineLvl w:val="0"/>
        <w:rPr>
          <w:rFonts w:eastAsia="Calibri" w:cs="Times New Roman"/>
          <w:bCs/>
          <w:color w:val="4288C8"/>
          <w:szCs w:val="20"/>
        </w:rPr>
      </w:pPr>
    </w:p>
    <w:p w14:paraId="14291015" w14:textId="77777777" w:rsidR="00644DDC" w:rsidRDefault="00644DDC" w:rsidP="005B7427">
      <w:pPr>
        <w:tabs>
          <w:tab w:val="left" w:pos="2127"/>
        </w:tabs>
        <w:spacing w:before="120"/>
        <w:outlineLvl w:val="0"/>
        <w:rPr>
          <w:rFonts w:eastAsia="Calibri" w:cs="Times New Roman"/>
          <w:bCs/>
          <w:color w:val="4288C8"/>
          <w:szCs w:val="20"/>
        </w:rPr>
      </w:pPr>
    </w:p>
    <w:p w14:paraId="14CEB20C" w14:textId="357D3E2A" w:rsidR="00476316" w:rsidRPr="002467E0" w:rsidRDefault="002467E0" w:rsidP="000B07CD">
      <w:pPr>
        <w:tabs>
          <w:tab w:val="left" w:pos="2127"/>
        </w:tabs>
        <w:spacing w:before="120"/>
        <w:jc w:val="center"/>
        <w:outlineLvl w:val="0"/>
        <w:rPr>
          <w:rFonts w:eastAsia="Calibri" w:cs="Times New Roman"/>
          <w:b/>
          <w:color w:val="4288C8"/>
          <w:szCs w:val="20"/>
        </w:rPr>
      </w:pPr>
      <w:r w:rsidRPr="002467E0">
        <w:rPr>
          <w:rFonts w:eastAsia="Calibri" w:cs="Times New Roman"/>
          <w:b/>
          <w:color w:val="4288C8"/>
          <w:szCs w:val="20"/>
        </w:rPr>
        <w:t>***</w:t>
      </w:r>
    </w:p>
    <w:sectPr w:rsidR="00476316" w:rsidRPr="002467E0" w:rsidSect="002352FD">
      <w:headerReference w:type="default"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19092" w14:textId="77777777" w:rsidR="002352FD" w:rsidRDefault="002352FD" w:rsidP="00ED12A5">
      <w:pPr>
        <w:spacing w:after="0"/>
      </w:pPr>
      <w:r>
        <w:separator/>
      </w:r>
    </w:p>
  </w:endnote>
  <w:endnote w:type="continuationSeparator" w:id="0">
    <w:p w14:paraId="23F6F88C" w14:textId="77777777" w:rsidR="002352FD" w:rsidRDefault="002352FD" w:rsidP="00ED12A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ouYuan">
    <w:altName w:val="幼圆"/>
    <w:panose1 w:val="00000000000000000000"/>
    <w:charset w:val="86"/>
    <w:family w:val="roman"/>
    <w:notTrueType/>
    <w:pitch w:val="default"/>
  </w:font>
  <w:font w:name="Segoe UI Semilight">
    <w:panose1 w:val="020B0402040204020203"/>
    <w:charset w:val="00"/>
    <w:family w:val="swiss"/>
    <w:pitch w:val="variable"/>
    <w:sig w:usb0="E4002EFF" w:usb1="C000E47F" w:usb2="00000009" w:usb3="00000000" w:csb0="000001FF" w:csb1="00000000"/>
  </w:font>
  <w:font w:name="Verdana-Bold">
    <w:altName w:val="Verdana"/>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2CE1A" w14:textId="77777777" w:rsidR="003F2394" w:rsidRDefault="003F2394"/>
  <w:tbl>
    <w:tblPr>
      <w:tblW w:w="4947" w:type="pct"/>
      <w:tblInd w:w="-1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tblBorders>
      <w:tblLook w:val="00A0" w:firstRow="1" w:lastRow="0" w:firstColumn="1" w:lastColumn="0" w:noHBand="0" w:noVBand="0"/>
    </w:tblPr>
    <w:tblGrid>
      <w:gridCol w:w="7371"/>
      <w:gridCol w:w="1559"/>
    </w:tblGrid>
    <w:tr w:rsidR="003F2394" w:rsidRPr="00A45CEA" w14:paraId="3D66733B" w14:textId="77777777" w:rsidTr="003F2394">
      <w:trPr>
        <w:trHeight w:val="425"/>
      </w:trPr>
      <w:tc>
        <w:tcPr>
          <w:tcW w:w="4127" w:type="pct"/>
          <w:tcBorders>
            <w:top w:val="nil"/>
            <w:left w:val="nil"/>
            <w:bottom w:val="nil"/>
            <w:right w:val="nil"/>
            <w:tl2br w:val="nil"/>
            <w:tr2bl w:val="nil"/>
          </w:tcBorders>
          <w:shd w:val="clear" w:color="auto" w:fill="auto"/>
        </w:tcPr>
        <w:p w14:paraId="5D896075" w14:textId="77777777" w:rsidR="003F2394" w:rsidRPr="00D82B63" w:rsidRDefault="003F2394" w:rsidP="003F2394">
          <w:pPr>
            <w:pStyle w:val="Footnote"/>
            <w:tabs>
              <w:tab w:val="left" w:pos="260"/>
            </w:tabs>
            <w:ind w:left="34"/>
            <w:rPr>
              <w:sz w:val="16"/>
              <w:szCs w:val="17"/>
            </w:rPr>
          </w:pPr>
        </w:p>
        <w:p w14:paraId="7A465E5D" w14:textId="77777777" w:rsidR="003F2394" w:rsidRPr="00A45CEA" w:rsidRDefault="003F2394" w:rsidP="003F2394">
          <w:pPr>
            <w:pStyle w:val="Footer"/>
            <w:shd w:val="clear" w:color="auto" w:fill="FFFFFF" w:themeFill="background1"/>
            <w:rPr>
              <w:sz w:val="17"/>
              <w:szCs w:val="17"/>
            </w:rPr>
          </w:pPr>
          <w:r w:rsidRPr="00A45CEA">
            <w:rPr>
              <w:rStyle w:val="PageNumber"/>
              <w:sz w:val="17"/>
              <w:szCs w:val="17"/>
            </w:rPr>
            <w:fldChar w:fldCharType="begin"/>
          </w:r>
          <w:r w:rsidRPr="00A45CEA">
            <w:rPr>
              <w:rStyle w:val="PageNumber"/>
              <w:sz w:val="17"/>
              <w:szCs w:val="17"/>
            </w:rPr>
            <w:instrText xml:space="preserve">PAGE  </w:instrText>
          </w:r>
          <w:r w:rsidRPr="00A45CEA">
            <w:rPr>
              <w:rStyle w:val="PageNumber"/>
              <w:sz w:val="17"/>
              <w:szCs w:val="17"/>
            </w:rPr>
            <w:fldChar w:fldCharType="separate"/>
          </w:r>
          <w:r w:rsidR="003A79A5">
            <w:rPr>
              <w:rStyle w:val="PageNumber"/>
              <w:noProof/>
              <w:sz w:val="17"/>
              <w:szCs w:val="17"/>
            </w:rPr>
            <w:t>2</w:t>
          </w:r>
          <w:r w:rsidRPr="00A45CEA">
            <w:rPr>
              <w:rStyle w:val="PageNumber"/>
              <w:sz w:val="17"/>
              <w:szCs w:val="17"/>
            </w:rPr>
            <w:fldChar w:fldCharType="end"/>
          </w:r>
        </w:p>
      </w:tc>
      <w:tc>
        <w:tcPr>
          <w:tcW w:w="873" w:type="pct"/>
          <w:tcBorders>
            <w:top w:val="nil"/>
            <w:left w:val="nil"/>
            <w:bottom w:val="nil"/>
            <w:right w:val="nil"/>
          </w:tcBorders>
          <w:shd w:val="clear" w:color="auto" w:fill="auto"/>
        </w:tcPr>
        <w:p w14:paraId="789F0B45" w14:textId="77777777" w:rsidR="003F2394" w:rsidRPr="00A45CEA" w:rsidRDefault="003F2394" w:rsidP="003F2394">
          <w:pPr>
            <w:pStyle w:val="Footnote"/>
            <w:jc w:val="right"/>
            <w:rPr>
              <w:rFonts w:ascii="Verdana-Bold" w:hAnsi="Verdana-Bold" w:cs="Verdana-Bold"/>
              <w:b/>
              <w:bCs/>
              <w:color w:val="0A77A8"/>
              <w:sz w:val="17"/>
              <w:szCs w:val="17"/>
            </w:rPr>
          </w:pPr>
          <w:r w:rsidRPr="00A45CEA">
            <w:rPr>
              <w:rFonts w:ascii="Verdana-Bold" w:hAnsi="Verdana-Bold" w:cs="Verdana-Bold"/>
              <w:b/>
              <w:bCs/>
              <w:noProof/>
              <w:color w:val="0A77A8"/>
              <w:sz w:val="17"/>
              <w:szCs w:val="17"/>
              <w:lang w:eastAsia="en-GB"/>
            </w:rPr>
            <w:drawing>
              <wp:inline distT="0" distB="0" distL="0" distR="0" wp14:anchorId="232E2DA4" wp14:editId="3D99BBC7">
                <wp:extent cx="443711" cy="176530"/>
                <wp:effectExtent l="0" t="0" r="0" b="0"/>
                <wp:docPr id="1" name="Image 4" descr="so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png"/>
                        <pic:cNvPicPr/>
                      </pic:nvPicPr>
                      <pic:blipFill>
                        <a:blip r:embed="rId1"/>
                        <a:stretch>
                          <a:fillRect/>
                        </a:stretch>
                      </pic:blipFill>
                      <pic:spPr>
                        <a:xfrm>
                          <a:off x="0" y="0"/>
                          <a:ext cx="443711" cy="176530"/>
                        </a:xfrm>
                        <a:prstGeom prst="rect">
                          <a:avLst/>
                        </a:prstGeom>
                      </pic:spPr>
                    </pic:pic>
                  </a:graphicData>
                </a:graphic>
              </wp:inline>
            </w:drawing>
          </w:r>
        </w:p>
        <w:p w14:paraId="08804F14" w14:textId="77777777" w:rsidR="003F2394" w:rsidRPr="00A45CEA" w:rsidRDefault="003F2394" w:rsidP="003F2394">
          <w:pPr>
            <w:pStyle w:val="Footnote"/>
            <w:tabs>
              <w:tab w:val="left" w:pos="260"/>
            </w:tabs>
            <w:jc w:val="right"/>
            <w:rPr>
              <w:rFonts w:ascii="Verdana-Bold" w:hAnsi="Verdana-Bold" w:cs="Verdana-Bold"/>
              <w:b/>
              <w:bCs/>
              <w:color w:val="0A77A8"/>
              <w:sz w:val="17"/>
              <w:szCs w:val="17"/>
            </w:rPr>
          </w:pPr>
          <w:r w:rsidRPr="00A45CEA">
            <w:rPr>
              <w:rFonts w:ascii="Verdana-Bold" w:hAnsi="Verdana-Bold" w:cs="Verdana-Bold"/>
              <w:b/>
              <w:bCs/>
              <w:color w:val="0A77A8"/>
              <w:sz w:val="17"/>
              <w:szCs w:val="17"/>
            </w:rPr>
            <w:t>www.ebf.eu</w:t>
          </w:r>
        </w:p>
      </w:tc>
    </w:tr>
  </w:tbl>
  <w:p w14:paraId="1E5F646B" w14:textId="77777777" w:rsidR="003F2394" w:rsidRDefault="003F2394" w:rsidP="003F239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7" w:type="pct"/>
      <w:tblInd w:w="-1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tblBorders>
      <w:tblLook w:val="00A0" w:firstRow="1" w:lastRow="0" w:firstColumn="1" w:lastColumn="0" w:noHBand="0" w:noVBand="0"/>
    </w:tblPr>
    <w:tblGrid>
      <w:gridCol w:w="7371"/>
      <w:gridCol w:w="1559"/>
    </w:tblGrid>
    <w:tr w:rsidR="003F2394" w:rsidRPr="00A45CEA" w14:paraId="74EA4A8D" w14:textId="77777777" w:rsidTr="009D05C9">
      <w:trPr>
        <w:trHeight w:val="1272"/>
      </w:trPr>
      <w:tc>
        <w:tcPr>
          <w:tcW w:w="4127" w:type="pct"/>
          <w:tcBorders>
            <w:top w:val="nil"/>
            <w:left w:val="nil"/>
            <w:bottom w:val="nil"/>
            <w:right w:val="nil"/>
            <w:tl2br w:val="nil"/>
            <w:tr2bl w:val="nil"/>
          </w:tcBorders>
          <w:shd w:val="clear" w:color="auto" w:fill="auto"/>
        </w:tcPr>
        <w:p w14:paraId="34EAB910" w14:textId="77777777" w:rsidR="003F2394" w:rsidRPr="00CA516C" w:rsidRDefault="003F2394" w:rsidP="00A0558E">
          <w:pPr>
            <w:pStyle w:val="Footnote"/>
            <w:tabs>
              <w:tab w:val="left" w:pos="260"/>
            </w:tabs>
            <w:jc w:val="left"/>
            <w:rPr>
              <w:rFonts w:ascii="Verdana-Bold" w:hAnsi="Verdana-Bold" w:cs="Verdana-Bold"/>
              <w:b/>
              <w:bCs/>
              <w:color w:val="0A77A8"/>
              <w:sz w:val="15"/>
              <w:szCs w:val="17"/>
              <w:lang w:val="de-DE"/>
            </w:rPr>
          </w:pPr>
          <w:r w:rsidRPr="00CA516C">
            <w:rPr>
              <w:rFonts w:ascii="Verdana-Bold" w:hAnsi="Verdana-Bold" w:cs="Verdana-Bold"/>
              <w:b/>
              <w:bCs/>
              <w:color w:val="0A77A8"/>
              <w:sz w:val="15"/>
              <w:szCs w:val="17"/>
              <w:lang w:val="de-DE"/>
            </w:rPr>
            <w:t>European Banking Federation aisbl</w:t>
          </w:r>
          <w:r w:rsidR="00A0558E" w:rsidRPr="00CA516C">
            <w:rPr>
              <w:rFonts w:ascii="Verdana-Bold" w:hAnsi="Verdana-Bold" w:cs="Verdana-Bold"/>
              <w:b/>
              <w:bCs/>
              <w:color w:val="0A77A8"/>
              <w:sz w:val="15"/>
              <w:szCs w:val="17"/>
              <w:lang w:val="de-DE"/>
            </w:rPr>
            <w:br/>
          </w:r>
        </w:p>
        <w:p w14:paraId="2BCA739B" w14:textId="77777777" w:rsidR="003F2394" w:rsidRPr="00CA516C" w:rsidRDefault="003F2394" w:rsidP="00A0558E">
          <w:pPr>
            <w:pStyle w:val="Footnote"/>
            <w:tabs>
              <w:tab w:val="left" w:pos="260"/>
            </w:tabs>
            <w:jc w:val="left"/>
            <w:rPr>
              <w:sz w:val="16"/>
              <w:szCs w:val="17"/>
              <w:lang w:val="de-DE"/>
            </w:rPr>
          </w:pPr>
          <w:r w:rsidRPr="00CA516C">
            <w:rPr>
              <w:rFonts w:ascii="Verdana-Bold" w:hAnsi="Verdana-Bold" w:cs="Verdana-Bold"/>
              <w:b/>
              <w:bCs/>
              <w:color w:val="0A77A8"/>
              <w:sz w:val="15"/>
              <w:szCs w:val="17"/>
              <w:lang w:val="de-DE"/>
            </w:rPr>
            <w:t xml:space="preserve">Brussels / </w:t>
          </w:r>
          <w:r w:rsidRPr="00CA516C">
            <w:rPr>
              <w:sz w:val="16"/>
              <w:szCs w:val="17"/>
              <w:lang w:val="de-DE"/>
            </w:rPr>
            <w:t>Avenue des Arts 56, 1000 Brussels, Belgium / +32 2 508 3711 / info@ebf.eu</w:t>
          </w:r>
        </w:p>
        <w:p w14:paraId="10C1BE27" w14:textId="77777777" w:rsidR="003F2394" w:rsidRPr="00CA516C" w:rsidRDefault="003F2394" w:rsidP="00A0558E">
          <w:pPr>
            <w:pStyle w:val="Footnote"/>
            <w:tabs>
              <w:tab w:val="left" w:pos="260"/>
            </w:tabs>
            <w:jc w:val="left"/>
            <w:rPr>
              <w:sz w:val="16"/>
              <w:szCs w:val="17"/>
              <w:lang w:val="de-DE"/>
            </w:rPr>
          </w:pPr>
          <w:r w:rsidRPr="00CA516C">
            <w:rPr>
              <w:rFonts w:ascii="Verdana-Bold" w:hAnsi="Verdana-Bold" w:cs="Verdana-Bold"/>
              <w:b/>
              <w:bCs/>
              <w:color w:val="0A77A8"/>
              <w:sz w:val="15"/>
              <w:szCs w:val="17"/>
              <w:lang w:val="de-DE"/>
            </w:rPr>
            <w:t xml:space="preserve">Frankfurt / </w:t>
          </w:r>
          <w:r w:rsidRPr="00CA516C">
            <w:rPr>
              <w:sz w:val="16"/>
              <w:szCs w:val="17"/>
              <w:lang w:val="de-DE"/>
            </w:rPr>
            <w:t>Weißfrauenstraße 12-16, 60311 Frankfurt, Germany</w:t>
          </w:r>
        </w:p>
        <w:p w14:paraId="73A8A486" w14:textId="77777777" w:rsidR="003F2394" w:rsidRDefault="003F2394" w:rsidP="00A0558E">
          <w:pPr>
            <w:pStyle w:val="Footnote"/>
            <w:tabs>
              <w:tab w:val="left" w:pos="260"/>
            </w:tabs>
            <w:jc w:val="left"/>
            <w:rPr>
              <w:sz w:val="16"/>
              <w:szCs w:val="17"/>
            </w:rPr>
          </w:pPr>
          <w:r w:rsidRPr="0085549F">
            <w:rPr>
              <w:rFonts w:ascii="Verdana-Bold" w:hAnsi="Verdana-Bold" w:cs="Verdana-Bold"/>
              <w:b/>
              <w:bCs/>
              <w:color w:val="0A77A8"/>
              <w:sz w:val="15"/>
              <w:szCs w:val="17"/>
            </w:rPr>
            <w:t>EU Transparency Register /</w:t>
          </w:r>
          <w:r w:rsidRPr="0085549F">
            <w:rPr>
              <w:sz w:val="16"/>
              <w:szCs w:val="17"/>
            </w:rPr>
            <w:t xml:space="preserve"> ID number: 4722660838-23</w:t>
          </w:r>
        </w:p>
        <w:p w14:paraId="27BC9806" w14:textId="77777777" w:rsidR="003F2394" w:rsidRPr="00D82B63" w:rsidRDefault="003F2394" w:rsidP="003F2394">
          <w:pPr>
            <w:pStyle w:val="Footnote"/>
            <w:tabs>
              <w:tab w:val="left" w:pos="260"/>
            </w:tabs>
            <w:ind w:left="34"/>
            <w:rPr>
              <w:sz w:val="16"/>
              <w:szCs w:val="17"/>
            </w:rPr>
          </w:pPr>
        </w:p>
        <w:p w14:paraId="0920F506" w14:textId="77777777" w:rsidR="003F2394" w:rsidRPr="00A45CEA" w:rsidRDefault="003F2394" w:rsidP="003A79A5">
          <w:pPr>
            <w:pStyle w:val="Footer"/>
            <w:shd w:val="clear" w:color="auto" w:fill="FFFFFF" w:themeFill="background1"/>
            <w:rPr>
              <w:sz w:val="17"/>
              <w:szCs w:val="17"/>
            </w:rPr>
          </w:pPr>
        </w:p>
      </w:tc>
      <w:tc>
        <w:tcPr>
          <w:tcW w:w="873" w:type="pct"/>
          <w:tcBorders>
            <w:top w:val="nil"/>
            <w:left w:val="nil"/>
            <w:bottom w:val="nil"/>
            <w:right w:val="nil"/>
          </w:tcBorders>
          <w:shd w:val="clear" w:color="auto" w:fill="auto"/>
        </w:tcPr>
        <w:p w14:paraId="5064AEA9" w14:textId="77777777" w:rsidR="003F2394" w:rsidRPr="00A45CEA" w:rsidRDefault="003F2394" w:rsidP="003F2394">
          <w:pPr>
            <w:pStyle w:val="Footnote"/>
            <w:tabs>
              <w:tab w:val="left" w:pos="260"/>
            </w:tabs>
            <w:jc w:val="right"/>
            <w:rPr>
              <w:rFonts w:ascii="Verdana-Bold" w:hAnsi="Verdana-Bold" w:cs="Verdana-Bold"/>
              <w:b/>
              <w:bCs/>
              <w:color w:val="0A77A8"/>
              <w:sz w:val="17"/>
              <w:szCs w:val="17"/>
            </w:rPr>
          </w:pPr>
        </w:p>
        <w:p w14:paraId="418D6E2C" w14:textId="77777777" w:rsidR="003F2394" w:rsidRPr="003F2394" w:rsidRDefault="003F2394" w:rsidP="003F2394">
          <w:pPr>
            <w:pStyle w:val="Footnote"/>
            <w:jc w:val="right"/>
            <w:rPr>
              <w:rFonts w:ascii="Verdana-Bold" w:hAnsi="Verdana-Bold" w:cs="Verdana-Bold"/>
              <w:b/>
              <w:bCs/>
              <w:color w:val="0A77A8"/>
              <w:sz w:val="8"/>
              <w:szCs w:val="17"/>
            </w:rPr>
          </w:pPr>
          <w:r w:rsidRPr="003F2394">
            <w:rPr>
              <w:rFonts w:ascii="Verdana-Bold" w:hAnsi="Verdana-Bold" w:cs="Verdana-Bold"/>
              <w:b/>
              <w:bCs/>
              <w:color w:val="0A77A8"/>
              <w:sz w:val="8"/>
              <w:szCs w:val="17"/>
            </w:rPr>
            <w:t xml:space="preserve"> </w:t>
          </w:r>
        </w:p>
        <w:p w14:paraId="69C87396" w14:textId="77777777" w:rsidR="003F2394" w:rsidRDefault="003F2394" w:rsidP="003F2394">
          <w:pPr>
            <w:pStyle w:val="Footnote"/>
            <w:jc w:val="right"/>
            <w:rPr>
              <w:rFonts w:ascii="Verdana-Bold" w:hAnsi="Verdana-Bold" w:cs="Verdana-Bold"/>
              <w:b/>
              <w:bCs/>
              <w:color w:val="0A77A8"/>
              <w:sz w:val="17"/>
              <w:szCs w:val="17"/>
            </w:rPr>
          </w:pPr>
        </w:p>
        <w:p w14:paraId="4A072705" w14:textId="77777777" w:rsidR="003F2394" w:rsidRPr="00A45CEA" w:rsidRDefault="003F2394" w:rsidP="003F2394">
          <w:pPr>
            <w:pStyle w:val="Footnote"/>
            <w:jc w:val="right"/>
            <w:rPr>
              <w:rFonts w:ascii="Verdana-Bold" w:hAnsi="Verdana-Bold" w:cs="Verdana-Bold"/>
              <w:b/>
              <w:bCs/>
              <w:color w:val="0A77A8"/>
              <w:sz w:val="17"/>
              <w:szCs w:val="17"/>
            </w:rPr>
          </w:pPr>
          <w:r w:rsidRPr="00A45CEA">
            <w:rPr>
              <w:rFonts w:ascii="Verdana-Bold" w:hAnsi="Verdana-Bold" w:cs="Verdana-Bold"/>
              <w:b/>
              <w:bCs/>
              <w:noProof/>
              <w:color w:val="0A77A8"/>
              <w:sz w:val="17"/>
              <w:szCs w:val="17"/>
              <w:lang w:eastAsia="en-GB"/>
            </w:rPr>
            <w:drawing>
              <wp:inline distT="0" distB="0" distL="0" distR="0" wp14:anchorId="670E36E5" wp14:editId="275CE2A8">
                <wp:extent cx="443711" cy="176530"/>
                <wp:effectExtent l="0" t="0" r="0" b="0"/>
                <wp:docPr id="352" name="Image 4" descr="so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png"/>
                        <pic:cNvPicPr/>
                      </pic:nvPicPr>
                      <pic:blipFill>
                        <a:blip r:embed="rId1"/>
                        <a:stretch>
                          <a:fillRect/>
                        </a:stretch>
                      </pic:blipFill>
                      <pic:spPr>
                        <a:xfrm>
                          <a:off x="0" y="0"/>
                          <a:ext cx="443711" cy="176530"/>
                        </a:xfrm>
                        <a:prstGeom prst="rect">
                          <a:avLst/>
                        </a:prstGeom>
                      </pic:spPr>
                    </pic:pic>
                  </a:graphicData>
                </a:graphic>
              </wp:inline>
            </w:drawing>
          </w:r>
        </w:p>
        <w:p w14:paraId="0F70C961" w14:textId="77777777" w:rsidR="003F2394" w:rsidRPr="00A45CEA" w:rsidRDefault="003F2394" w:rsidP="003F2394">
          <w:pPr>
            <w:pStyle w:val="Footnote"/>
            <w:tabs>
              <w:tab w:val="left" w:pos="260"/>
            </w:tabs>
            <w:jc w:val="right"/>
            <w:rPr>
              <w:rFonts w:ascii="Verdana-Bold" w:hAnsi="Verdana-Bold" w:cs="Verdana-Bold"/>
              <w:b/>
              <w:bCs/>
              <w:color w:val="0A77A8"/>
              <w:sz w:val="17"/>
              <w:szCs w:val="17"/>
            </w:rPr>
          </w:pPr>
          <w:r w:rsidRPr="00A45CEA">
            <w:rPr>
              <w:rFonts w:ascii="Verdana-Bold" w:hAnsi="Verdana-Bold" w:cs="Verdana-Bold"/>
              <w:b/>
              <w:bCs/>
              <w:color w:val="0A77A8"/>
              <w:sz w:val="17"/>
              <w:szCs w:val="17"/>
            </w:rPr>
            <w:t>www.ebf.eu</w:t>
          </w:r>
        </w:p>
      </w:tc>
    </w:tr>
  </w:tbl>
  <w:p w14:paraId="5B3B0BE4" w14:textId="77777777" w:rsidR="003F2394" w:rsidRDefault="003F23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129BD" w14:textId="77777777" w:rsidR="002352FD" w:rsidRDefault="002352FD" w:rsidP="00ED12A5">
      <w:pPr>
        <w:spacing w:after="0"/>
      </w:pPr>
      <w:r>
        <w:separator/>
      </w:r>
    </w:p>
  </w:footnote>
  <w:footnote w:type="continuationSeparator" w:id="0">
    <w:p w14:paraId="3F41A388" w14:textId="77777777" w:rsidR="002352FD" w:rsidRDefault="002352FD" w:rsidP="00ED12A5">
      <w:pPr>
        <w:spacing w:after="0"/>
      </w:pPr>
      <w:r>
        <w:continuationSeparator/>
      </w:r>
    </w:p>
  </w:footnote>
  <w:footnote w:id="1">
    <w:p w14:paraId="1F23B8C0" w14:textId="35D23250" w:rsidR="001445B7" w:rsidRPr="001445B7" w:rsidRDefault="001445B7">
      <w:pPr>
        <w:pStyle w:val="FootnoteText"/>
        <w:rPr>
          <w:lang w:val="en-US"/>
        </w:rPr>
      </w:pPr>
      <w:r>
        <w:rPr>
          <w:rStyle w:val="FootnoteReference"/>
        </w:rPr>
        <w:footnoteRef/>
      </w:r>
      <w:r>
        <w:t xml:space="preserve"> </w:t>
      </w:r>
      <w:r w:rsidRPr="001445B7">
        <w:rPr>
          <w:i/>
          <w:iCs/>
          <w:sz w:val="16"/>
          <w:szCs w:val="16"/>
        </w:rPr>
        <w:t>Institutions shall in particular ensure that the prudent valuation of their trading book positions achieves an appropriate degree of certainty having regard to the dynamic nature of trading book positions and non-trading book positions measured at fair value, the demands of prudential soundness and the mode of operation and purpose of capital requirements in respect of trading book positions and non-trading book positions measured at fair value</w:t>
      </w:r>
      <w:r w:rsidRPr="001445B7">
        <w:rPr>
          <w:sz w:val="16"/>
          <w:szCs w:val="16"/>
        </w:rPr>
        <w:t>.</w:t>
      </w:r>
    </w:p>
  </w:footnote>
  <w:footnote w:id="2">
    <w:p w14:paraId="1FCEABF2" w14:textId="0E6FBD6A" w:rsidR="008021D0" w:rsidRPr="008021D0" w:rsidRDefault="008021D0">
      <w:pPr>
        <w:pStyle w:val="FootnoteText"/>
        <w:rPr>
          <w:lang w:val="fr-BE"/>
        </w:rPr>
      </w:pPr>
      <w:r>
        <w:rPr>
          <w:rStyle w:val="FootnoteReference"/>
        </w:rPr>
        <w:footnoteRef/>
      </w:r>
      <w:r w:rsidRPr="008021D0">
        <w:rPr>
          <w:lang w:val="fr-BE"/>
        </w:rPr>
        <w:t xml:space="preserve"> </w:t>
      </w:r>
      <w:r w:rsidRPr="008021D0">
        <w:rPr>
          <w:sz w:val="18"/>
          <w:szCs w:val="18"/>
          <w:lang w:val="fr-BE"/>
        </w:rPr>
        <w:t>ESMA report on EU Derivatives Market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03084" w14:textId="7069AB08" w:rsidR="009D531F" w:rsidRDefault="009D531F">
    <w:pPr>
      <w:pStyle w:val="Header"/>
    </w:pPr>
    <w:r>
      <w:rPr>
        <w:noProof/>
        <w:lang w:eastAsia="en-GB"/>
      </w:rPr>
      <w:drawing>
        <wp:anchor distT="0" distB="0" distL="114300" distR="114300" simplePos="0" relativeHeight="251659264" behindDoc="0" locked="0" layoutInCell="1" allowOverlap="1" wp14:anchorId="1C87DBA5" wp14:editId="2D36C6A0">
          <wp:simplePos x="0" y="0"/>
          <wp:positionH relativeFrom="page">
            <wp:align>right</wp:align>
          </wp:positionH>
          <wp:positionV relativeFrom="paragraph">
            <wp:posOffset>-453390</wp:posOffset>
          </wp:positionV>
          <wp:extent cx="2578100" cy="1511300"/>
          <wp:effectExtent l="0" t="0" r="0" b="0"/>
          <wp:wrapNone/>
          <wp:docPr id="349" name="Image 3" descr="top-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letterhead.jpg"/>
                  <pic:cNvPicPr/>
                </pic:nvPicPr>
                <pic:blipFill>
                  <a:blip r:embed="rId1"/>
                  <a:stretch>
                    <a:fillRect/>
                  </a:stretch>
                </pic:blipFill>
                <pic:spPr>
                  <a:xfrm>
                    <a:off x="0" y="0"/>
                    <a:ext cx="2578100" cy="1511300"/>
                  </a:xfrm>
                  <a:prstGeom prst="rect">
                    <a:avLst/>
                  </a:prstGeom>
                </pic:spPr>
              </pic:pic>
            </a:graphicData>
          </a:graphic>
        </wp:anchor>
      </w:drawing>
    </w:r>
  </w:p>
  <w:p w14:paraId="72323369" w14:textId="1DB40097" w:rsidR="009D531F" w:rsidRDefault="009D531F">
    <w:pPr>
      <w:pStyle w:val="Header"/>
    </w:pPr>
  </w:p>
  <w:p w14:paraId="1872F9A6" w14:textId="77777777" w:rsidR="009D531F" w:rsidRDefault="009D531F">
    <w:pPr>
      <w:pStyle w:val="Header"/>
    </w:pPr>
  </w:p>
  <w:p w14:paraId="7EBFDC49" w14:textId="77777777" w:rsidR="009D531F" w:rsidRDefault="009D531F">
    <w:pPr>
      <w:pStyle w:val="Header"/>
    </w:pPr>
  </w:p>
  <w:p w14:paraId="4D00A8BF" w14:textId="77777777" w:rsidR="009D531F" w:rsidRDefault="009D531F">
    <w:pPr>
      <w:pStyle w:val="Header"/>
    </w:pPr>
  </w:p>
  <w:p w14:paraId="6B0CFB37" w14:textId="77777777" w:rsidR="009D531F" w:rsidRDefault="009D531F">
    <w:pPr>
      <w:pStyle w:val="Header"/>
    </w:pPr>
  </w:p>
  <w:p w14:paraId="75606063" w14:textId="16A26E2E" w:rsidR="003F2394" w:rsidRDefault="003F23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C0CD0" w14:textId="77777777" w:rsidR="003F2394" w:rsidRDefault="003F2394">
    <w:pPr>
      <w:pStyle w:val="Header"/>
    </w:pPr>
    <w:r>
      <w:rPr>
        <w:noProof/>
        <w:lang w:eastAsia="en-GB"/>
      </w:rPr>
      <w:drawing>
        <wp:anchor distT="0" distB="0" distL="114300" distR="114300" simplePos="0" relativeHeight="251657216" behindDoc="1" locked="0" layoutInCell="1" allowOverlap="1" wp14:anchorId="4DC59AE8" wp14:editId="218041E9">
          <wp:simplePos x="0" y="0"/>
          <wp:positionH relativeFrom="page">
            <wp:align>right</wp:align>
          </wp:positionH>
          <wp:positionV relativeFrom="paragraph">
            <wp:posOffset>-449580</wp:posOffset>
          </wp:positionV>
          <wp:extent cx="4410950" cy="3759200"/>
          <wp:effectExtent l="0" t="0" r="8890" b="0"/>
          <wp:wrapNone/>
          <wp:docPr id="351" name="Image 0" descr="logo-on-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on-top.jpg"/>
                  <pic:cNvPicPr/>
                </pic:nvPicPr>
                <pic:blipFill>
                  <a:blip r:embed="rId1"/>
                  <a:stretch>
                    <a:fillRect/>
                  </a:stretch>
                </pic:blipFill>
                <pic:spPr>
                  <a:xfrm>
                    <a:off x="0" y="0"/>
                    <a:ext cx="4410950" cy="3759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2556"/>
    <w:multiLevelType w:val="hybridMultilevel"/>
    <w:tmpl w:val="260876DC"/>
    <w:lvl w:ilvl="0" w:tplc="1000000B">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 w15:restartNumberingAfterBreak="0">
    <w:nsid w:val="054B47DB"/>
    <w:multiLevelType w:val="hybridMultilevel"/>
    <w:tmpl w:val="BED802EC"/>
    <w:lvl w:ilvl="0" w:tplc="1000000D">
      <w:start w:val="1"/>
      <w:numFmt w:val="bullet"/>
      <w:lvlText w:val=""/>
      <w:lvlJc w:val="left"/>
      <w:pPr>
        <w:ind w:left="1440" w:hanging="360"/>
      </w:pPr>
      <w:rPr>
        <w:rFonts w:ascii="Wingdings" w:hAnsi="Wingdings"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2" w15:restartNumberingAfterBreak="0">
    <w:nsid w:val="07DD61A4"/>
    <w:multiLevelType w:val="hybridMultilevel"/>
    <w:tmpl w:val="5386C074"/>
    <w:lvl w:ilvl="0" w:tplc="D144A5EA">
      <w:start w:val="1"/>
      <w:numFmt w:val="bullet"/>
      <w:lvlText w:val="-"/>
      <w:lvlJc w:val="left"/>
      <w:pPr>
        <w:ind w:left="1440" w:hanging="360"/>
      </w:pPr>
      <w:rPr>
        <w:rFonts w:ascii="Verdana" w:eastAsia="Calibri" w:hAnsi="Verdana" w:cs="Times New Roman"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08A84D34"/>
    <w:multiLevelType w:val="hybridMultilevel"/>
    <w:tmpl w:val="1DD03A0C"/>
    <w:lvl w:ilvl="0" w:tplc="D144A5EA">
      <w:start w:val="1"/>
      <w:numFmt w:val="bullet"/>
      <w:lvlText w:val="-"/>
      <w:lvlJc w:val="left"/>
      <w:pPr>
        <w:ind w:left="720" w:hanging="360"/>
      </w:pPr>
      <w:rPr>
        <w:rFonts w:ascii="Verdana" w:eastAsia="Calibri" w:hAnsi="Verdana"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 w15:restartNumberingAfterBreak="0">
    <w:nsid w:val="098A16AE"/>
    <w:multiLevelType w:val="hybridMultilevel"/>
    <w:tmpl w:val="CA1621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92384E"/>
    <w:multiLevelType w:val="hybridMultilevel"/>
    <w:tmpl w:val="558686BA"/>
    <w:lvl w:ilvl="0" w:tplc="D144A5EA">
      <w:start w:val="1"/>
      <w:numFmt w:val="bullet"/>
      <w:lvlText w:val="-"/>
      <w:lvlJc w:val="left"/>
      <w:pPr>
        <w:ind w:left="720" w:hanging="360"/>
      </w:pPr>
      <w:rPr>
        <w:rFonts w:ascii="Verdana" w:eastAsia="Calibri" w:hAnsi="Verdana"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0F9A294E"/>
    <w:multiLevelType w:val="hybridMultilevel"/>
    <w:tmpl w:val="5F3AA906"/>
    <w:lvl w:ilvl="0" w:tplc="1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 w15:restartNumberingAfterBreak="0">
    <w:nsid w:val="107F1361"/>
    <w:multiLevelType w:val="hybridMultilevel"/>
    <w:tmpl w:val="30A0EAFA"/>
    <w:lvl w:ilvl="0" w:tplc="D144A5EA">
      <w:start w:val="1"/>
      <w:numFmt w:val="bullet"/>
      <w:lvlText w:val="-"/>
      <w:lvlJc w:val="left"/>
      <w:pPr>
        <w:ind w:left="720" w:hanging="360"/>
      </w:pPr>
      <w:rPr>
        <w:rFonts w:ascii="Verdana" w:eastAsia="Calibri" w:hAnsi="Verdana"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 w15:restartNumberingAfterBreak="0">
    <w:nsid w:val="115C197A"/>
    <w:multiLevelType w:val="hybridMultilevel"/>
    <w:tmpl w:val="E62CB9F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 w15:restartNumberingAfterBreak="0">
    <w:nsid w:val="118D1266"/>
    <w:multiLevelType w:val="hybridMultilevel"/>
    <w:tmpl w:val="9F58A35A"/>
    <w:lvl w:ilvl="0" w:tplc="1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12CA7496"/>
    <w:multiLevelType w:val="hybridMultilevel"/>
    <w:tmpl w:val="A8F6847A"/>
    <w:lvl w:ilvl="0" w:tplc="1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1" w15:restartNumberingAfterBreak="0">
    <w:nsid w:val="189F3AB0"/>
    <w:multiLevelType w:val="hybridMultilevel"/>
    <w:tmpl w:val="E9E0C3F0"/>
    <w:lvl w:ilvl="0" w:tplc="10000011">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2" w15:restartNumberingAfterBreak="0">
    <w:nsid w:val="18E425B5"/>
    <w:multiLevelType w:val="hybridMultilevel"/>
    <w:tmpl w:val="1228D80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3" w15:restartNumberingAfterBreak="0">
    <w:nsid w:val="1D283288"/>
    <w:multiLevelType w:val="hybridMultilevel"/>
    <w:tmpl w:val="59F6B3CE"/>
    <w:lvl w:ilvl="0" w:tplc="10000011">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1D586921"/>
    <w:multiLevelType w:val="hybridMultilevel"/>
    <w:tmpl w:val="9C4C808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23702BFC"/>
    <w:multiLevelType w:val="hybridMultilevel"/>
    <w:tmpl w:val="93F6CEA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 w15:restartNumberingAfterBreak="0">
    <w:nsid w:val="2621043D"/>
    <w:multiLevelType w:val="hybridMultilevel"/>
    <w:tmpl w:val="CB5CFDEC"/>
    <w:lvl w:ilvl="0" w:tplc="1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 w15:restartNumberingAfterBreak="0">
    <w:nsid w:val="28143A3D"/>
    <w:multiLevelType w:val="hybridMultilevel"/>
    <w:tmpl w:val="C0B807C0"/>
    <w:lvl w:ilvl="0" w:tplc="D144A5EA">
      <w:start w:val="1"/>
      <w:numFmt w:val="bullet"/>
      <w:lvlText w:val="-"/>
      <w:lvlJc w:val="left"/>
      <w:pPr>
        <w:ind w:left="1440" w:hanging="360"/>
      </w:pPr>
      <w:rPr>
        <w:rFonts w:ascii="Verdana" w:eastAsia="Calibri" w:hAnsi="Verdana" w:cs="Times New Roman"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18" w15:restartNumberingAfterBreak="0">
    <w:nsid w:val="295026A9"/>
    <w:multiLevelType w:val="hybridMultilevel"/>
    <w:tmpl w:val="B164E1AA"/>
    <w:lvl w:ilvl="0" w:tplc="1000000B">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9" w15:restartNumberingAfterBreak="0">
    <w:nsid w:val="2D9A3B72"/>
    <w:multiLevelType w:val="hybridMultilevel"/>
    <w:tmpl w:val="28CEC488"/>
    <w:lvl w:ilvl="0" w:tplc="1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0" w15:restartNumberingAfterBreak="0">
    <w:nsid w:val="2DF66329"/>
    <w:multiLevelType w:val="hybridMultilevel"/>
    <w:tmpl w:val="562A23B4"/>
    <w:lvl w:ilvl="0" w:tplc="1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1" w15:restartNumberingAfterBreak="0">
    <w:nsid w:val="3C717339"/>
    <w:multiLevelType w:val="hybridMultilevel"/>
    <w:tmpl w:val="E89E71DA"/>
    <w:lvl w:ilvl="0" w:tplc="1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2" w15:restartNumberingAfterBreak="0">
    <w:nsid w:val="3DA5188E"/>
    <w:multiLevelType w:val="hybridMultilevel"/>
    <w:tmpl w:val="A2C85A7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3" w15:restartNumberingAfterBreak="0">
    <w:nsid w:val="445D57F3"/>
    <w:multiLevelType w:val="hybridMultilevel"/>
    <w:tmpl w:val="75A0FDBC"/>
    <w:lvl w:ilvl="0" w:tplc="D144A5EA">
      <w:start w:val="1"/>
      <w:numFmt w:val="bullet"/>
      <w:lvlText w:val="-"/>
      <w:lvlJc w:val="left"/>
      <w:pPr>
        <w:ind w:left="720" w:hanging="360"/>
      </w:pPr>
      <w:rPr>
        <w:rFonts w:ascii="Verdana" w:eastAsia="Calibri" w:hAnsi="Verdana"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4" w15:restartNumberingAfterBreak="0">
    <w:nsid w:val="457E236C"/>
    <w:multiLevelType w:val="hybridMultilevel"/>
    <w:tmpl w:val="9B76AD3E"/>
    <w:lvl w:ilvl="0" w:tplc="10000011">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5" w15:restartNumberingAfterBreak="0">
    <w:nsid w:val="490F0FD8"/>
    <w:multiLevelType w:val="hybridMultilevel"/>
    <w:tmpl w:val="2160CA20"/>
    <w:lvl w:ilvl="0" w:tplc="D144A5EA">
      <w:start w:val="1"/>
      <w:numFmt w:val="bullet"/>
      <w:lvlText w:val="-"/>
      <w:lvlJc w:val="left"/>
      <w:pPr>
        <w:ind w:left="720" w:hanging="360"/>
      </w:pPr>
      <w:rPr>
        <w:rFonts w:ascii="Verdana" w:eastAsia="Calibri" w:hAnsi="Verdana"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6" w15:restartNumberingAfterBreak="0">
    <w:nsid w:val="4DFB6D8E"/>
    <w:multiLevelType w:val="hybridMultilevel"/>
    <w:tmpl w:val="4B208CEC"/>
    <w:lvl w:ilvl="0" w:tplc="1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7" w15:restartNumberingAfterBreak="0">
    <w:nsid w:val="4E351E9B"/>
    <w:multiLevelType w:val="hybridMultilevel"/>
    <w:tmpl w:val="59FCB116"/>
    <w:lvl w:ilvl="0" w:tplc="C700C7AA">
      <w:start w:val="8"/>
      <w:numFmt w:val="bullet"/>
      <w:lvlText w:val="-"/>
      <w:lvlJc w:val="left"/>
      <w:pPr>
        <w:ind w:left="720" w:hanging="360"/>
      </w:pPr>
      <w:rPr>
        <w:rFonts w:ascii="Verdana" w:eastAsia="Calibri" w:hAnsi="Verdana"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8" w15:restartNumberingAfterBreak="0">
    <w:nsid w:val="51382499"/>
    <w:multiLevelType w:val="hybridMultilevel"/>
    <w:tmpl w:val="D110F6E2"/>
    <w:lvl w:ilvl="0" w:tplc="1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9" w15:restartNumberingAfterBreak="0">
    <w:nsid w:val="52037C45"/>
    <w:multiLevelType w:val="hybridMultilevel"/>
    <w:tmpl w:val="22DA6680"/>
    <w:lvl w:ilvl="0" w:tplc="040C0017">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0" w15:restartNumberingAfterBreak="0">
    <w:nsid w:val="527924BC"/>
    <w:multiLevelType w:val="hybridMultilevel"/>
    <w:tmpl w:val="4A867D42"/>
    <w:lvl w:ilvl="0" w:tplc="10000017">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1" w15:restartNumberingAfterBreak="0">
    <w:nsid w:val="53C1672F"/>
    <w:multiLevelType w:val="hybridMultilevel"/>
    <w:tmpl w:val="AF02596C"/>
    <w:lvl w:ilvl="0" w:tplc="D144A5EA">
      <w:start w:val="1"/>
      <w:numFmt w:val="bullet"/>
      <w:lvlText w:val="-"/>
      <w:lvlJc w:val="left"/>
      <w:pPr>
        <w:ind w:left="720" w:hanging="360"/>
      </w:pPr>
      <w:rPr>
        <w:rFonts w:ascii="Verdana" w:eastAsia="Calibri" w:hAnsi="Verdana"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2" w15:restartNumberingAfterBreak="0">
    <w:nsid w:val="5A14775B"/>
    <w:multiLevelType w:val="hybridMultilevel"/>
    <w:tmpl w:val="776261FA"/>
    <w:lvl w:ilvl="0" w:tplc="D144A5EA">
      <w:start w:val="1"/>
      <w:numFmt w:val="bullet"/>
      <w:lvlText w:val="-"/>
      <w:lvlJc w:val="left"/>
      <w:pPr>
        <w:ind w:left="720" w:hanging="360"/>
      </w:pPr>
      <w:rPr>
        <w:rFonts w:ascii="Verdana" w:eastAsia="Calibri" w:hAnsi="Verdana"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3" w15:restartNumberingAfterBreak="0">
    <w:nsid w:val="5A4C5412"/>
    <w:multiLevelType w:val="hybridMultilevel"/>
    <w:tmpl w:val="8590902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4" w15:restartNumberingAfterBreak="0">
    <w:nsid w:val="5F870D7C"/>
    <w:multiLevelType w:val="hybridMultilevel"/>
    <w:tmpl w:val="F648D432"/>
    <w:lvl w:ilvl="0" w:tplc="10000017">
      <w:start w:val="1"/>
      <w:numFmt w:val="lowerLetter"/>
      <w:lvlText w:val="%1)"/>
      <w:lvlJc w:val="left"/>
      <w:pPr>
        <w:ind w:left="720" w:hanging="360"/>
      </w:pPr>
      <w:rPr>
        <w:rFonts w:hint="default"/>
        <w:b w: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5" w15:restartNumberingAfterBreak="0">
    <w:nsid w:val="6DF63859"/>
    <w:multiLevelType w:val="hybridMultilevel"/>
    <w:tmpl w:val="C3A0711A"/>
    <w:lvl w:ilvl="0" w:tplc="10000017">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6" w15:restartNumberingAfterBreak="0">
    <w:nsid w:val="6EAE6B69"/>
    <w:multiLevelType w:val="hybridMultilevel"/>
    <w:tmpl w:val="AE78D8B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7" w15:restartNumberingAfterBreak="0">
    <w:nsid w:val="74472778"/>
    <w:multiLevelType w:val="hybridMultilevel"/>
    <w:tmpl w:val="444C8D5E"/>
    <w:lvl w:ilvl="0" w:tplc="1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8" w15:restartNumberingAfterBreak="0">
    <w:nsid w:val="75D665B3"/>
    <w:multiLevelType w:val="hybridMultilevel"/>
    <w:tmpl w:val="0EFE889E"/>
    <w:lvl w:ilvl="0" w:tplc="1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9" w15:restartNumberingAfterBreak="0">
    <w:nsid w:val="78970CC3"/>
    <w:multiLevelType w:val="hybridMultilevel"/>
    <w:tmpl w:val="9314F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D85795"/>
    <w:multiLevelType w:val="hybridMultilevel"/>
    <w:tmpl w:val="DF36AAD0"/>
    <w:lvl w:ilvl="0" w:tplc="15C8FC48">
      <w:start w:val="8"/>
      <w:numFmt w:val="bullet"/>
      <w:lvlText w:val="-"/>
      <w:lvlJc w:val="left"/>
      <w:pPr>
        <w:ind w:left="720" w:hanging="360"/>
      </w:pPr>
      <w:rPr>
        <w:rFonts w:ascii="Verdana" w:eastAsia="Calibri" w:hAnsi="Verdana"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1" w15:restartNumberingAfterBreak="0">
    <w:nsid w:val="7B011B57"/>
    <w:multiLevelType w:val="hybridMultilevel"/>
    <w:tmpl w:val="41BAFEB8"/>
    <w:lvl w:ilvl="0" w:tplc="97E0D65E">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B6B0759"/>
    <w:multiLevelType w:val="hybridMultilevel"/>
    <w:tmpl w:val="91642D92"/>
    <w:lvl w:ilvl="0" w:tplc="D144A5EA">
      <w:start w:val="1"/>
      <w:numFmt w:val="bullet"/>
      <w:lvlText w:val="-"/>
      <w:lvlJc w:val="left"/>
      <w:pPr>
        <w:ind w:left="720" w:hanging="360"/>
      </w:pPr>
      <w:rPr>
        <w:rFonts w:ascii="Verdana" w:eastAsia="Calibri" w:hAnsi="Verdana"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3" w15:restartNumberingAfterBreak="0">
    <w:nsid w:val="7C5468FD"/>
    <w:multiLevelType w:val="hybridMultilevel"/>
    <w:tmpl w:val="9F343A8C"/>
    <w:lvl w:ilvl="0" w:tplc="1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4" w15:restartNumberingAfterBreak="0">
    <w:nsid w:val="7D090F77"/>
    <w:multiLevelType w:val="hybridMultilevel"/>
    <w:tmpl w:val="E780DD54"/>
    <w:lvl w:ilvl="0" w:tplc="040C0017">
      <w:start w:val="4"/>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16cid:durableId="1288589583">
    <w:abstractNumId w:val="34"/>
  </w:num>
  <w:num w:numId="2" w16cid:durableId="362101393">
    <w:abstractNumId w:val="14"/>
  </w:num>
  <w:num w:numId="3" w16cid:durableId="438259473">
    <w:abstractNumId w:val="9"/>
  </w:num>
  <w:num w:numId="4" w16cid:durableId="1817799124">
    <w:abstractNumId w:val="16"/>
  </w:num>
  <w:num w:numId="5" w16cid:durableId="1662613697">
    <w:abstractNumId w:val="28"/>
  </w:num>
  <w:num w:numId="6" w16cid:durableId="1320035573">
    <w:abstractNumId w:val="8"/>
  </w:num>
  <w:num w:numId="7" w16cid:durableId="1168063216">
    <w:abstractNumId w:val="24"/>
  </w:num>
  <w:num w:numId="8" w16cid:durableId="1301110634">
    <w:abstractNumId w:val="30"/>
  </w:num>
  <w:num w:numId="9" w16cid:durableId="1262641534">
    <w:abstractNumId w:val="42"/>
  </w:num>
  <w:num w:numId="10" w16cid:durableId="822963092">
    <w:abstractNumId w:val="25"/>
  </w:num>
  <w:num w:numId="11" w16cid:durableId="523397813">
    <w:abstractNumId w:val="35"/>
  </w:num>
  <w:num w:numId="12" w16cid:durableId="189682142">
    <w:abstractNumId w:val="3"/>
  </w:num>
  <w:num w:numId="13" w16cid:durableId="1178736639">
    <w:abstractNumId w:val="32"/>
  </w:num>
  <w:num w:numId="14" w16cid:durableId="604533059">
    <w:abstractNumId w:val="44"/>
  </w:num>
  <w:num w:numId="15" w16cid:durableId="259533753">
    <w:abstractNumId w:val="7"/>
  </w:num>
  <w:num w:numId="16" w16cid:durableId="822889121">
    <w:abstractNumId w:val="23"/>
  </w:num>
  <w:num w:numId="17" w16cid:durableId="385371077">
    <w:abstractNumId w:val="12"/>
  </w:num>
  <w:num w:numId="18" w16cid:durableId="1877429522">
    <w:abstractNumId w:val="43"/>
  </w:num>
  <w:num w:numId="19" w16cid:durableId="1894777631">
    <w:abstractNumId w:val="38"/>
  </w:num>
  <w:num w:numId="20" w16cid:durableId="140074114">
    <w:abstractNumId w:val="15"/>
  </w:num>
  <w:num w:numId="21" w16cid:durableId="574122630">
    <w:abstractNumId w:val="33"/>
  </w:num>
  <w:num w:numId="22" w16cid:durableId="815335692">
    <w:abstractNumId w:val="21"/>
  </w:num>
  <w:num w:numId="23" w16cid:durableId="508563337">
    <w:abstractNumId w:val="20"/>
  </w:num>
  <w:num w:numId="24" w16cid:durableId="443691984">
    <w:abstractNumId w:val="36"/>
  </w:num>
  <w:num w:numId="25" w16cid:durableId="345523729">
    <w:abstractNumId w:val="22"/>
  </w:num>
  <w:num w:numId="26" w16cid:durableId="2061438856">
    <w:abstractNumId w:val="10"/>
  </w:num>
  <w:num w:numId="27" w16cid:durableId="383867926">
    <w:abstractNumId w:val="37"/>
  </w:num>
  <w:num w:numId="28" w16cid:durableId="1353340987">
    <w:abstractNumId w:val="6"/>
  </w:num>
  <w:num w:numId="29" w16cid:durableId="612517466">
    <w:abstractNumId w:val="19"/>
  </w:num>
  <w:num w:numId="30" w16cid:durableId="98067609">
    <w:abstractNumId w:val="5"/>
  </w:num>
  <w:num w:numId="31" w16cid:durableId="224099166">
    <w:abstractNumId w:val="29"/>
  </w:num>
  <w:num w:numId="32" w16cid:durableId="960109608">
    <w:abstractNumId w:val="31"/>
  </w:num>
  <w:num w:numId="33" w16cid:durableId="820998945">
    <w:abstractNumId w:val="1"/>
  </w:num>
  <w:num w:numId="34" w16cid:durableId="778110107">
    <w:abstractNumId w:val="26"/>
  </w:num>
  <w:num w:numId="35" w16cid:durableId="665396994">
    <w:abstractNumId w:val="17"/>
  </w:num>
  <w:num w:numId="36" w16cid:durableId="268974487">
    <w:abstractNumId w:val="2"/>
  </w:num>
  <w:num w:numId="37" w16cid:durableId="65346734">
    <w:abstractNumId w:val="0"/>
  </w:num>
  <w:num w:numId="38" w16cid:durableId="2012759922">
    <w:abstractNumId w:val="18"/>
  </w:num>
  <w:num w:numId="39" w16cid:durableId="1077168469">
    <w:abstractNumId w:val="11"/>
  </w:num>
  <w:num w:numId="40" w16cid:durableId="282611661">
    <w:abstractNumId w:val="13"/>
  </w:num>
  <w:num w:numId="41" w16cid:durableId="349382054">
    <w:abstractNumId w:val="4"/>
  </w:num>
  <w:num w:numId="42" w16cid:durableId="327288878">
    <w:abstractNumId w:val="41"/>
  </w:num>
  <w:num w:numId="43" w16cid:durableId="1030688970">
    <w:abstractNumId w:val="39"/>
  </w:num>
  <w:num w:numId="44" w16cid:durableId="1410150482">
    <w:abstractNumId w:val="27"/>
  </w:num>
  <w:num w:numId="45" w16cid:durableId="1747605683">
    <w:abstractNumId w:val="4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599"/>
    <w:rsid w:val="000005AC"/>
    <w:rsid w:val="00003D39"/>
    <w:rsid w:val="00005724"/>
    <w:rsid w:val="000103A3"/>
    <w:rsid w:val="00010AB8"/>
    <w:rsid w:val="00010EBF"/>
    <w:rsid w:val="00011302"/>
    <w:rsid w:val="00012DE8"/>
    <w:rsid w:val="00012EE4"/>
    <w:rsid w:val="000140A1"/>
    <w:rsid w:val="00014385"/>
    <w:rsid w:val="000151BC"/>
    <w:rsid w:val="0001649C"/>
    <w:rsid w:val="000176A0"/>
    <w:rsid w:val="00021005"/>
    <w:rsid w:val="0002277A"/>
    <w:rsid w:val="00022A4F"/>
    <w:rsid w:val="00023242"/>
    <w:rsid w:val="00023F02"/>
    <w:rsid w:val="0002433A"/>
    <w:rsid w:val="0002659E"/>
    <w:rsid w:val="000268A1"/>
    <w:rsid w:val="00026FF2"/>
    <w:rsid w:val="00027368"/>
    <w:rsid w:val="000306F0"/>
    <w:rsid w:val="00030B54"/>
    <w:rsid w:val="0003235F"/>
    <w:rsid w:val="000337F2"/>
    <w:rsid w:val="0003578A"/>
    <w:rsid w:val="00035C3A"/>
    <w:rsid w:val="000371FA"/>
    <w:rsid w:val="00041D7F"/>
    <w:rsid w:val="00043958"/>
    <w:rsid w:val="00045277"/>
    <w:rsid w:val="00051CDF"/>
    <w:rsid w:val="00053E04"/>
    <w:rsid w:val="000566D5"/>
    <w:rsid w:val="000657A9"/>
    <w:rsid w:val="00065930"/>
    <w:rsid w:val="000674E6"/>
    <w:rsid w:val="00067E4A"/>
    <w:rsid w:val="0007182C"/>
    <w:rsid w:val="0007689F"/>
    <w:rsid w:val="00077214"/>
    <w:rsid w:val="00081073"/>
    <w:rsid w:val="00081375"/>
    <w:rsid w:val="0008378D"/>
    <w:rsid w:val="000843CA"/>
    <w:rsid w:val="000866F1"/>
    <w:rsid w:val="00096072"/>
    <w:rsid w:val="000969DB"/>
    <w:rsid w:val="000A0E51"/>
    <w:rsid w:val="000A4E35"/>
    <w:rsid w:val="000A55BF"/>
    <w:rsid w:val="000A58DD"/>
    <w:rsid w:val="000A5BCF"/>
    <w:rsid w:val="000B07CD"/>
    <w:rsid w:val="000B397A"/>
    <w:rsid w:val="000B5B5E"/>
    <w:rsid w:val="000C0409"/>
    <w:rsid w:val="000C2D2A"/>
    <w:rsid w:val="000C3616"/>
    <w:rsid w:val="000C370B"/>
    <w:rsid w:val="000C537F"/>
    <w:rsid w:val="000D207B"/>
    <w:rsid w:val="000D239A"/>
    <w:rsid w:val="000D3121"/>
    <w:rsid w:val="000D3CFA"/>
    <w:rsid w:val="000D5DCC"/>
    <w:rsid w:val="000D5E58"/>
    <w:rsid w:val="000E10ED"/>
    <w:rsid w:val="000E627C"/>
    <w:rsid w:val="000E7C7A"/>
    <w:rsid w:val="000F0D30"/>
    <w:rsid w:val="000F4044"/>
    <w:rsid w:val="000F6CB4"/>
    <w:rsid w:val="000F74ED"/>
    <w:rsid w:val="0010175B"/>
    <w:rsid w:val="001021A1"/>
    <w:rsid w:val="001068BB"/>
    <w:rsid w:val="00113A07"/>
    <w:rsid w:val="00114484"/>
    <w:rsid w:val="00115CFF"/>
    <w:rsid w:val="001174AF"/>
    <w:rsid w:val="001204D4"/>
    <w:rsid w:val="00123A51"/>
    <w:rsid w:val="001240EE"/>
    <w:rsid w:val="001253E3"/>
    <w:rsid w:val="0012579F"/>
    <w:rsid w:val="0012714F"/>
    <w:rsid w:val="001279F0"/>
    <w:rsid w:val="00130A18"/>
    <w:rsid w:val="00130BF1"/>
    <w:rsid w:val="00133735"/>
    <w:rsid w:val="00133B0D"/>
    <w:rsid w:val="00133C0D"/>
    <w:rsid w:val="00133EFD"/>
    <w:rsid w:val="001403BC"/>
    <w:rsid w:val="00141313"/>
    <w:rsid w:val="001414CF"/>
    <w:rsid w:val="00142825"/>
    <w:rsid w:val="0014358A"/>
    <w:rsid w:val="001445B7"/>
    <w:rsid w:val="00144F09"/>
    <w:rsid w:val="00145E01"/>
    <w:rsid w:val="00146950"/>
    <w:rsid w:val="00147D5F"/>
    <w:rsid w:val="00147E27"/>
    <w:rsid w:val="001501A2"/>
    <w:rsid w:val="00153F02"/>
    <w:rsid w:val="00154AD9"/>
    <w:rsid w:val="00155E45"/>
    <w:rsid w:val="00160FF6"/>
    <w:rsid w:val="00163431"/>
    <w:rsid w:val="001641F8"/>
    <w:rsid w:val="00171C08"/>
    <w:rsid w:val="00173063"/>
    <w:rsid w:val="00181E78"/>
    <w:rsid w:val="0018266E"/>
    <w:rsid w:val="001828CE"/>
    <w:rsid w:val="00183150"/>
    <w:rsid w:val="0018387B"/>
    <w:rsid w:val="001843AC"/>
    <w:rsid w:val="00184DF2"/>
    <w:rsid w:val="001874FC"/>
    <w:rsid w:val="001904D6"/>
    <w:rsid w:val="00190688"/>
    <w:rsid w:val="00193DCF"/>
    <w:rsid w:val="001A4430"/>
    <w:rsid w:val="001A4D1A"/>
    <w:rsid w:val="001A5220"/>
    <w:rsid w:val="001B0CEB"/>
    <w:rsid w:val="001B1B7C"/>
    <w:rsid w:val="001B57F9"/>
    <w:rsid w:val="001C6926"/>
    <w:rsid w:val="001D0181"/>
    <w:rsid w:val="001D3E0D"/>
    <w:rsid w:val="001D52B9"/>
    <w:rsid w:val="001D5772"/>
    <w:rsid w:val="001D6A81"/>
    <w:rsid w:val="001E1559"/>
    <w:rsid w:val="001E2890"/>
    <w:rsid w:val="001E3855"/>
    <w:rsid w:val="001E41A1"/>
    <w:rsid w:val="001E558D"/>
    <w:rsid w:val="001E5801"/>
    <w:rsid w:val="001F0FA1"/>
    <w:rsid w:val="001F3352"/>
    <w:rsid w:val="001F6B94"/>
    <w:rsid w:val="00203E96"/>
    <w:rsid w:val="00204D42"/>
    <w:rsid w:val="00215485"/>
    <w:rsid w:val="0022241C"/>
    <w:rsid w:val="00223A27"/>
    <w:rsid w:val="00224F39"/>
    <w:rsid w:val="00225F4F"/>
    <w:rsid w:val="002271CD"/>
    <w:rsid w:val="00227BA0"/>
    <w:rsid w:val="00227BC3"/>
    <w:rsid w:val="00230B2E"/>
    <w:rsid w:val="002318EA"/>
    <w:rsid w:val="00233FA0"/>
    <w:rsid w:val="002352FD"/>
    <w:rsid w:val="0024007A"/>
    <w:rsid w:val="002437DD"/>
    <w:rsid w:val="00245BD5"/>
    <w:rsid w:val="00246502"/>
    <w:rsid w:val="002467E0"/>
    <w:rsid w:val="0024726D"/>
    <w:rsid w:val="002509DD"/>
    <w:rsid w:val="0025148E"/>
    <w:rsid w:val="00251A02"/>
    <w:rsid w:val="00252CFA"/>
    <w:rsid w:val="00256572"/>
    <w:rsid w:val="00266B1D"/>
    <w:rsid w:val="00266DEE"/>
    <w:rsid w:val="00266FAD"/>
    <w:rsid w:val="00271C1D"/>
    <w:rsid w:val="00273E66"/>
    <w:rsid w:val="00275CD1"/>
    <w:rsid w:val="00277D03"/>
    <w:rsid w:val="00280D45"/>
    <w:rsid w:val="00283264"/>
    <w:rsid w:val="00285599"/>
    <w:rsid w:val="00286A94"/>
    <w:rsid w:val="00291AF3"/>
    <w:rsid w:val="002927A8"/>
    <w:rsid w:val="0029478D"/>
    <w:rsid w:val="00295111"/>
    <w:rsid w:val="00297C2C"/>
    <w:rsid w:val="002A3554"/>
    <w:rsid w:val="002A4A28"/>
    <w:rsid w:val="002A534C"/>
    <w:rsid w:val="002A7332"/>
    <w:rsid w:val="002B0704"/>
    <w:rsid w:val="002B1115"/>
    <w:rsid w:val="002B17D2"/>
    <w:rsid w:val="002B4FF1"/>
    <w:rsid w:val="002B705E"/>
    <w:rsid w:val="002B7B2C"/>
    <w:rsid w:val="002C0B9C"/>
    <w:rsid w:val="002C40CF"/>
    <w:rsid w:val="002C65AD"/>
    <w:rsid w:val="002C7DA1"/>
    <w:rsid w:val="002D14E5"/>
    <w:rsid w:val="002D1564"/>
    <w:rsid w:val="002D1E35"/>
    <w:rsid w:val="002D3340"/>
    <w:rsid w:val="002D5406"/>
    <w:rsid w:val="002D5CD7"/>
    <w:rsid w:val="002D6692"/>
    <w:rsid w:val="002D716B"/>
    <w:rsid w:val="002D7994"/>
    <w:rsid w:val="002D79DE"/>
    <w:rsid w:val="002E0C01"/>
    <w:rsid w:val="002E1BF2"/>
    <w:rsid w:val="002E28E5"/>
    <w:rsid w:val="002E7579"/>
    <w:rsid w:val="002F0687"/>
    <w:rsid w:val="002F2428"/>
    <w:rsid w:val="002F284A"/>
    <w:rsid w:val="002F3F06"/>
    <w:rsid w:val="002F7174"/>
    <w:rsid w:val="003011F5"/>
    <w:rsid w:val="003068AC"/>
    <w:rsid w:val="003075D6"/>
    <w:rsid w:val="00310BCC"/>
    <w:rsid w:val="00310E27"/>
    <w:rsid w:val="00311E72"/>
    <w:rsid w:val="00312DDF"/>
    <w:rsid w:val="00313037"/>
    <w:rsid w:val="00316DC9"/>
    <w:rsid w:val="00317566"/>
    <w:rsid w:val="00320858"/>
    <w:rsid w:val="00321F5A"/>
    <w:rsid w:val="00323A9D"/>
    <w:rsid w:val="003267B7"/>
    <w:rsid w:val="00330906"/>
    <w:rsid w:val="00331153"/>
    <w:rsid w:val="0033227F"/>
    <w:rsid w:val="003326BC"/>
    <w:rsid w:val="003340C8"/>
    <w:rsid w:val="00335BFC"/>
    <w:rsid w:val="00335F69"/>
    <w:rsid w:val="00337285"/>
    <w:rsid w:val="00337D9A"/>
    <w:rsid w:val="00337FE2"/>
    <w:rsid w:val="00340BDF"/>
    <w:rsid w:val="00341F6C"/>
    <w:rsid w:val="0034316F"/>
    <w:rsid w:val="00345B38"/>
    <w:rsid w:val="00347A29"/>
    <w:rsid w:val="00350B75"/>
    <w:rsid w:val="00356E34"/>
    <w:rsid w:val="00356F7A"/>
    <w:rsid w:val="00362941"/>
    <w:rsid w:val="00363313"/>
    <w:rsid w:val="00364227"/>
    <w:rsid w:val="003651ED"/>
    <w:rsid w:val="00366CBB"/>
    <w:rsid w:val="00366CCC"/>
    <w:rsid w:val="00370172"/>
    <w:rsid w:val="0037071A"/>
    <w:rsid w:val="00376517"/>
    <w:rsid w:val="0037674A"/>
    <w:rsid w:val="003768CF"/>
    <w:rsid w:val="00376B04"/>
    <w:rsid w:val="00376E79"/>
    <w:rsid w:val="00377F8D"/>
    <w:rsid w:val="0039030A"/>
    <w:rsid w:val="003911D3"/>
    <w:rsid w:val="00392697"/>
    <w:rsid w:val="0039306B"/>
    <w:rsid w:val="0039451F"/>
    <w:rsid w:val="0039556E"/>
    <w:rsid w:val="00395E7D"/>
    <w:rsid w:val="00395F6C"/>
    <w:rsid w:val="00396E70"/>
    <w:rsid w:val="00396FDA"/>
    <w:rsid w:val="003979D7"/>
    <w:rsid w:val="00397AC8"/>
    <w:rsid w:val="003A227A"/>
    <w:rsid w:val="003A37FF"/>
    <w:rsid w:val="003A42EF"/>
    <w:rsid w:val="003A6BE0"/>
    <w:rsid w:val="003A6C47"/>
    <w:rsid w:val="003A72DC"/>
    <w:rsid w:val="003A79A5"/>
    <w:rsid w:val="003B4E24"/>
    <w:rsid w:val="003B59FF"/>
    <w:rsid w:val="003B650D"/>
    <w:rsid w:val="003C065A"/>
    <w:rsid w:val="003C065B"/>
    <w:rsid w:val="003C18E8"/>
    <w:rsid w:val="003C1969"/>
    <w:rsid w:val="003C2E56"/>
    <w:rsid w:val="003C3F5F"/>
    <w:rsid w:val="003C545B"/>
    <w:rsid w:val="003C6B15"/>
    <w:rsid w:val="003C6B36"/>
    <w:rsid w:val="003C6FFF"/>
    <w:rsid w:val="003D0163"/>
    <w:rsid w:val="003D01A3"/>
    <w:rsid w:val="003D0DF5"/>
    <w:rsid w:val="003D4345"/>
    <w:rsid w:val="003D4374"/>
    <w:rsid w:val="003E24D1"/>
    <w:rsid w:val="003E2731"/>
    <w:rsid w:val="003E2782"/>
    <w:rsid w:val="003E36DB"/>
    <w:rsid w:val="003E3B0B"/>
    <w:rsid w:val="003E3DB7"/>
    <w:rsid w:val="003E478F"/>
    <w:rsid w:val="003E49C4"/>
    <w:rsid w:val="003E5F8A"/>
    <w:rsid w:val="003E6B0E"/>
    <w:rsid w:val="003F0900"/>
    <w:rsid w:val="003F2394"/>
    <w:rsid w:val="003F27B5"/>
    <w:rsid w:val="003F2CB9"/>
    <w:rsid w:val="004007EF"/>
    <w:rsid w:val="00401075"/>
    <w:rsid w:val="004020D1"/>
    <w:rsid w:val="00404451"/>
    <w:rsid w:val="00404DD8"/>
    <w:rsid w:val="004050CE"/>
    <w:rsid w:val="004103A2"/>
    <w:rsid w:val="00412267"/>
    <w:rsid w:val="00412E99"/>
    <w:rsid w:val="00416991"/>
    <w:rsid w:val="0042072D"/>
    <w:rsid w:val="00421752"/>
    <w:rsid w:val="00421FA3"/>
    <w:rsid w:val="00422014"/>
    <w:rsid w:val="00423DD8"/>
    <w:rsid w:val="004255A7"/>
    <w:rsid w:val="004262ED"/>
    <w:rsid w:val="00430E87"/>
    <w:rsid w:val="00440A8C"/>
    <w:rsid w:val="00440C04"/>
    <w:rsid w:val="00441A15"/>
    <w:rsid w:val="00443EB9"/>
    <w:rsid w:val="004442E3"/>
    <w:rsid w:val="00445768"/>
    <w:rsid w:val="004457D5"/>
    <w:rsid w:val="00445D07"/>
    <w:rsid w:val="00446B66"/>
    <w:rsid w:val="0045054D"/>
    <w:rsid w:val="00450748"/>
    <w:rsid w:val="004531D1"/>
    <w:rsid w:val="00454428"/>
    <w:rsid w:val="00456E33"/>
    <w:rsid w:val="00460570"/>
    <w:rsid w:val="00461989"/>
    <w:rsid w:val="00461F9E"/>
    <w:rsid w:val="00462A52"/>
    <w:rsid w:val="004633A5"/>
    <w:rsid w:val="00464297"/>
    <w:rsid w:val="00466003"/>
    <w:rsid w:val="00466601"/>
    <w:rsid w:val="0046776F"/>
    <w:rsid w:val="004678D6"/>
    <w:rsid w:val="00470845"/>
    <w:rsid w:val="00471715"/>
    <w:rsid w:val="00471AC3"/>
    <w:rsid w:val="004721BA"/>
    <w:rsid w:val="00476316"/>
    <w:rsid w:val="00476B55"/>
    <w:rsid w:val="00477D37"/>
    <w:rsid w:val="004817FC"/>
    <w:rsid w:val="004835A9"/>
    <w:rsid w:val="00486E8C"/>
    <w:rsid w:val="00486EBE"/>
    <w:rsid w:val="00490B8E"/>
    <w:rsid w:val="00491DB4"/>
    <w:rsid w:val="004936B4"/>
    <w:rsid w:val="00494665"/>
    <w:rsid w:val="0049481B"/>
    <w:rsid w:val="00497CB9"/>
    <w:rsid w:val="004A0077"/>
    <w:rsid w:val="004A040E"/>
    <w:rsid w:val="004A5651"/>
    <w:rsid w:val="004A6122"/>
    <w:rsid w:val="004A7A6D"/>
    <w:rsid w:val="004B033F"/>
    <w:rsid w:val="004B202A"/>
    <w:rsid w:val="004B20A5"/>
    <w:rsid w:val="004B3480"/>
    <w:rsid w:val="004B4052"/>
    <w:rsid w:val="004B4274"/>
    <w:rsid w:val="004B45DF"/>
    <w:rsid w:val="004B479B"/>
    <w:rsid w:val="004B6F9B"/>
    <w:rsid w:val="004C051F"/>
    <w:rsid w:val="004C1544"/>
    <w:rsid w:val="004C2E04"/>
    <w:rsid w:val="004C4FDF"/>
    <w:rsid w:val="004C7B37"/>
    <w:rsid w:val="004C7DDA"/>
    <w:rsid w:val="004D2E17"/>
    <w:rsid w:val="004D3765"/>
    <w:rsid w:val="004D5355"/>
    <w:rsid w:val="004D6BD0"/>
    <w:rsid w:val="004E040B"/>
    <w:rsid w:val="004E0D4C"/>
    <w:rsid w:val="004E2B69"/>
    <w:rsid w:val="004E6A0F"/>
    <w:rsid w:val="004F3798"/>
    <w:rsid w:val="004F4766"/>
    <w:rsid w:val="004F49C6"/>
    <w:rsid w:val="004F5344"/>
    <w:rsid w:val="004F544A"/>
    <w:rsid w:val="004F5711"/>
    <w:rsid w:val="004F7D71"/>
    <w:rsid w:val="00504313"/>
    <w:rsid w:val="005045F9"/>
    <w:rsid w:val="00504CFA"/>
    <w:rsid w:val="00510851"/>
    <w:rsid w:val="005117C6"/>
    <w:rsid w:val="0051189E"/>
    <w:rsid w:val="00511A20"/>
    <w:rsid w:val="00511B62"/>
    <w:rsid w:val="005146F8"/>
    <w:rsid w:val="00514C23"/>
    <w:rsid w:val="00514C29"/>
    <w:rsid w:val="00515175"/>
    <w:rsid w:val="00516DF2"/>
    <w:rsid w:val="005172D2"/>
    <w:rsid w:val="00517E0D"/>
    <w:rsid w:val="0052014A"/>
    <w:rsid w:val="005208C6"/>
    <w:rsid w:val="00521674"/>
    <w:rsid w:val="005220A2"/>
    <w:rsid w:val="00525890"/>
    <w:rsid w:val="00526034"/>
    <w:rsid w:val="00526299"/>
    <w:rsid w:val="00526E8E"/>
    <w:rsid w:val="00527955"/>
    <w:rsid w:val="00531385"/>
    <w:rsid w:val="00536301"/>
    <w:rsid w:val="005408C5"/>
    <w:rsid w:val="00542345"/>
    <w:rsid w:val="00542D08"/>
    <w:rsid w:val="005475A4"/>
    <w:rsid w:val="00550BEA"/>
    <w:rsid w:val="00552C96"/>
    <w:rsid w:val="00553831"/>
    <w:rsid w:val="00556799"/>
    <w:rsid w:val="005578CE"/>
    <w:rsid w:val="005605C7"/>
    <w:rsid w:val="00563515"/>
    <w:rsid w:val="0056383D"/>
    <w:rsid w:val="00563E6F"/>
    <w:rsid w:val="00566BAE"/>
    <w:rsid w:val="00567112"/>
    <w:rsid w:val="005724D3"/>
    <w:rsid w:val="0057452E"/>
    <w:rsid w:val="00575664"/>
    <w:rsid w:val="00577EB2"/>
    <w:rsid w:val="00584F63"/>
    <w:rsid w:val="00585E7E"/>
    <w:rsid w:val="005863D3"/>
    <w:rsid w:val="00586549"/>
    <w:rsid w:val="00596B79"/>
    <w:rsid w:val="005975ED"/>
    <w:rsid w:val="005A1BF3"/>
    <w:rsid w:val="005A25FD"/>
    <w:rsid w:val="005A6C21"/>
    <w:rsid w:val="005B1090"/>
    <w:rsid w:val="005B4231"/>
    <w:rsid w:val="005B4D35"/>
    <w:rsid w:val="005B736F"/>
    <w:rsid w:val="005B7427"/>
    <w:rsid w:val="005B7795"/>
    <w:rsid w:val="005C4547"/>
    <w:rsid w:val="005C7E6B"/>
    <w:rsid w:val="005D0EBA"/>
    <w:rsid w:val="005D2F33"/>
    <w:rsid w:val="005D3C14"/>
    <w:rsid w:val="005D4625"/>
    <w:rsid w:val="005E048A"/>
    <w:rsid w:val="005E0BF3"/>
    <w:rsid w:val="005E232E"/>
    <w:rsid w:val="005E50B8"/>
    <w:rsid w:val="005E52E3"/>
    <w:rsid w:val="005E6F5F"/>
    <w:rsid w:val="005F2891"/>
    <w:rsid w:val="005F2D1D"/>
    <w:rsid w:val="00601329"/>
    <w:rsid w:val="0060273F"/>
    <w:rsid w:val="006041B6"/>
    <w:rsid w:val="00605C6E"/>
    <w:rsid w:val="0061012B"/>
    <w:rsid w:val="00610F24"/>
    <w:rsid w:val="006152D0"/>
    <w:rsid w:val="0061620C"/>
    <w:rsid w:val="00617880"/>
    <w:rsid w:val="006245AD"/>
    <w:rsid w:val="0062536D"/>
    <w:rsid w:val="00625BAE"/>
    <w:rsid w:val="0062656B"/>
    <w:rsid w:val="00626F10"/>
    <w:rsid w:val="00633020"/>
    <w:rsid w:val="006351F1"/>
    <w:rsid w:val="00635F15"/>
    <w:rsid w:val="006368A3"/>
    <w:rsid w:val="0063737E"/>
    <w:rsid w:val="006403E4"/>
    <w:rsid w:val="00643537"/>
    <w:rsid w:val="0064411D"/>
    <w:rsid w:val="00644DDC"/>
    <w:rsid w:val="006465D9"/>
    <w:rsid w:val="00646EDF"/>
    <w:rsid w:val="006513E2"/>
    <w:rsid w:val="006516D1"/>
    <w:rsid w:val="00654715"/>
    <w:rsid w:val="006625AC"/>
    <w:rsid w:val="0066467B"/>
    <w:rsid w:val="00665410"/>
    <w:rsid w:val="0066772C"/>
    <w:rsid w:val="0067124E"/>
    <w:rsid w:val="0067142E"/>
    <w:rsid w:val="00671B48"/>
    <w:rsid w:val="00672456"/>
    <w:rsid w:val="00674746"/>
    <w:rsid w:val="00676290"/>
    <w:rsid w:val="00681546"/>
    <w:rsid w:val="00683162"/>
    <w:rsid w:val="00684E71"/>
    <w:rsid w:val="006860D9"/>
    <w:rsid w:val="0069136B"/>
    <w:rsid w:val="00693C5C"/>
    <w:rsid w:val="006940F4"/>
    <w:rsid w:val="00694720"/>
    <w:rsid w:val="006950B4"/>
    <w:rsid w:val="006957E7"/>
    <w:rsid w:val="006978E0"/>
    <w:rsid w:val="006A084D"/>
    <w:rsid w:val="006A636D"/>
    <w:rsid w:val="006A6C96"/>
    <w:rsid w:val="006B16DA"/>
    <w:rsid w:val="006B1B2E"/>
    <w:rsid w:val="006B45B1"/>
    <w:rsid w:val="006C31C6"/>
    <w:rsid w:val="006C47EB"/>
    <w:rsid w:val="006C5CF6"/>
    <w:rsid w:val="006C631E"/>
    <w:rsid w:val="006C633A"/>
    <w:rsid w:val="006D06EF"/>
    <w:rsid w:val="006D138B"/>
    <w:rsid w:val="006D2AD4"/>
    <w:rsid w:val="006D6A79"/>
    <w:rsid w:val="006D74C5"/>
    <w:rsid w:val="006E0172"/>
    <w:rsid w:val="006E13FD"/>
    <w:rsid w:val="006E5761"/>
    <w:rsid w:val="006E7CF2"/>
    <w:rsid w:val="006E7D69"/>
    <w:rsid w:val="006F2F66"/>
    <w:rsid w:val="006F329A"/>
    <w:rsid w:val="006F35CE"/>
    <w:rsid w:val="006F5806"/>
    <w:rsid w:val="006F60EE"/>
    <w:rsid w:val="007044C5"/>
    <w:rsid w:val="007071B8"/>
    <w:rsid w:val="00707C50"/>
    <w:rsid w:val="00710311"/>
    <w:rsid w:val="00711A0A"/>
    <w:rsid w:val="00711E1C"/>
    <w:rsid w:val="00712178"/>
    <w:rsid w:val="007134B5"/>
    <w:rsid w:val="00713FD8"/>
    <w:rsid w:val="0071408B"/>
    <w:rsid w:val="00714FBD"/>
    <w:rsid w:val="007152FB"/>
    <w:rsid w:val="00715585"/>
    <w:rsid w:val="00715C52"/>
    <w:rsid w:val="0072001F"/>
    <w:rsid w:val="00721BB9"/>
    <w:rsid w:val="00721F28"/>
    <w:rsid w:val="00722AE2"/>
    <w:rsid w:val="007230A4"/>
    <w:rsid w:val="0072387E"/>
    <w:rsid w:val="00724273"/>
    <w:rsid w:val="007243BF"/>
    <w:rsid w:val="00725067"/>
    <w:rsid w:val="007253EA"/>
    <w:rsid w:val="0072623C"/>
    <w:rsid w:val="0072656B"/>
    <w:rsid w:val="00730099"/>
    <w:rsid w:val="00734EFB"/>
    <w:rsid w:val="00735211"/>
    <w:rsid w:val="0073734B"/>
    <w:rsid w:val="0074019B"/>
    <w:rsid w:val="00740C60"/>
    <w:rsid w:val="00741401"/>
    <w:rsid w:val="00743731"/>
    <w:rsid w:val="00745EC6"/>
    <w:rsid w:val="00747594"/>
    <w:rsid w:val="00747E8A"/>
    <w:rsid w:val="00752748"/>
    <w:rsid w:val="0075285A"/>
    <w:rsid w:val="00753B3B"/>
    <w:rsid w:val="00754990"/>
    <w:rsid w:val="00754E55"/>
    <w:rsid w:val="00757E25"/>
    <w:rsid w:val="0076495C"/>
    <w:rsid w:val="00764D80"/>
    <w:rsid w:val="00765074"/>
    <w:rsid w:val="00766C52"/>
    <w:rsid w:val="007717F8"/>
    <w:rsid w:val="00772298"/>
    <w:rsid w:val="007722D3"/>
    <w:rsid w:val="00773D0D"/>
    <w:rsid w:val="007740DD"/>
    <w:rsid w:val="007757F2"/>
    <w:rsid w:val="00775F5D"/>
    <w:rsid w:val="00780C57"/>
    <w:rsid w:val="00784154"/>
    <w:rsid w:val="0078510E"/>
    <w:rsid w:val="00786E9F"/>
    <w:rsid w:val="007878AE"/>
    <w:rsid w:val="00790DA3"/>
    <w:rsid w:val="00792173"/>
    <w:rsid w:val="0079247B"/>
    <w:rsid w:val="007928B1"/>
    <w:rsid w:val="00793A26"/>
    <w:rsid w:val="00795C1A"/>
    <w:rsid w:val="00796B5B"/>
    <w:rsid w:val="007971FF"/>
    <w:rsid w:val="007A039E"/>
    <w:rsid w:val="007A03B9"/>
    <w:rsid w:val="007A0E22"/>
    <w:rsid w:val="007A2484"/>
    <w:rsid w:val="007A293E"/>
    <w:rsid w:val="007A4339"/>
    <w:rsid w:val="007A5A8B"/>
    <w:rsid w:val="007A7D21"/>
    <w:rsid w:val="007B0A5C"/>
    <w:rsid w:val="007B527B"/>
    <w:rsid w:val="007B5323"/>
    <w:rsid w:val="007B6052"/>
    <w:rsid w:val="007B650B"/>
    <w:rsid w:val="007B7CDB"/>
    <w:rsid w:val="007C0749"/>
    <w:rsid w:val="007C453E"/>
    <w:rsid w:val="007C4F0A"/>
    <w:rsid w:val="007C7149"/>
    <w:rsid w:val="007C72CC"/>
    <w:rsid w:val="007C7599"/>
    <w:rsid w:val="007D0245"/>
    <w:rsid w:val="007D1932"/>
    <w:rsid w:val="007D2F06"/>
    <w:rsid w:val="007D34EC"/>
    <w:rsid w:val="007E0424"/>
    <w:rsid w:val="007E0938"/>
    <w:rsid w:val="007E1C40"/>
    <w:rsid w:val="007E1D53"/>
    <w:rsid w:val="007E23BA"/>
    <w:rsid w:val="007E521A"/>
    <w:rsid w:val="007E7959"/>
    <w:rsid w:val="007F375B"/>
    <w:rsid w:val="007F381A"/>
    <w:rsid w:val="007F5AAD"/>
    <w:rsid w:val="007F6588"/>
    <w:rsid w:val="007F7AAA"/>
    <w:rsid w:val="007F7DAE"/>
    <w:rsid w:val="00800B32"/>
    <w:rsid w:val="008021D0"/>
    <w:rsid w:val="0080227E"/>
    <w:rsid w:val="008045A8"/>
    <w:rsid w:val="008049D1"/>
    <w:rsid w:val="00805F26"/>
    <w:rsid w:val="00811977"/>
    <w:rsid w:val="008219EA"/>
    <w:rsid w:val="00821CF0"/>
    <w:rsid w:val="00822268"/>
    <w:rsid w:val="00823987"/>
    <w:rsid w:val="00824181"/>
    <w:rsid w:val="008273D6"/>
    <w:rsid w:val="00830944"/>
    <w:rsid w:val="00831C3B"/>
    <w:rsid w:val="00833A9F"/>
    <w:rsid w:val="00833FDB"/>
    <w:rsid w:val="00834A4D"/>
    <w:rsid w:val="00840576"/>
    <w:rsid w:val="00840AB3"/>
    <w:rsid w:val="00843795"/>
    <w:rsid w:val="008509F6"/>
    <w:rsid w:val="00851D06"/>
    <w:rsid w:val="008522A3"/>
    <w:rsid w:val="00852E5F"/>
    <w:rsid w:val="008537BB"/>
    <w:rsid w:val="00853B9D"/>
    <w:rsid w:val="00854629"/>
    <w:rsid w:val="008570C8"/>
    <w:rsid w:val="00860555"/>
    <w:rsid w:val="0086137C"/>
    <w:rsid w:val="00862972"/>
    <w:rsid w:val="00862EB9"/>
    <w:rsid w:val="00864186"/>
    <w:rsid w:val="00865816"/>
    <w:rsid w:val="008658E7"/>
    <w:rsid w:val="00865DAC"/>
    <w:rsid w:val="008660E6"/>
    <w:rsid w:val="008716A6"/>
    <w:rsid w:val="00872242"/>
    <w:rsid w:val="0087318D"/>
    <w:rsid w:val="00875B7A"/>
    <w:rsid w:val="00877994"/>
    <w:rsid w:val="00880941"/>
    <w:rsid w:val="0088140A"/>
    <w:rsid w:val="008821E3"/>
    <w:rsid w:val="00882336"/>
    <w:rsid w:val="00882BB5"/>
    <w:rsid w:val="008864B0"/>
    <w:rsid w:val="00891234"/>
    <w:rsid w:val="00895DE8"/>
    <w:rsid w:val="00896C68"/>
    <w:rsid w:val="008A0C10"/>
    <w:rsid w:val="008A1082"/>
    <w:rsid w:val="008A14C1"/>
    <w:rsid w:val="008A5D28"/>
    <w:rsid w:val="008A640D"/>
    <w:rsid w:val="008A6C70"/>
    <w:rsid w:val="008B0E14"/>
    <w:rsid w:val="008B24D4"/>
    <w:rsid w:val="008B2AF1"/>
    <w:rsid w:val="008B2E64"/>
    <w:rsid w:val="008B35FB"/>
    <w:rsid w:val="008B3CCF"/>
    <w:rsid w:val="008B6D24"/>
    <w:rsid w:val="008C0158"/>
    <w:rsid w:val="008C02E7"/>
    <w:rsid w:val="008C2767"/>
    <w:rsid w:val="008C34D6"/>
    <w:rsid w:val="008C7CDB"/>
    <w:rsid w:val="008D14A4"/>
    <w:rsid w:val="008D2734"/>
    <w:rsid w:val="008D3BCF"/>
    <w:rsid w:val="008D711B"/>
    <w:rsid w:val="008E1537"/>
    <w:rsid w:val="008E22FE"/>
    <w:rsid w:val="008E35F1"/>
    <w:rsid w:val="008E5F1F"/>
    <w:rsid w:val="008E73A4"/>
    <w:rsid w:val="008F38DA"/>
    <w:rsid w:val="008F3BF2"/>
    <w:rsid w:val="008F4679"/>
    <w:rsid w:val="008F65A1"/>
    <w:rsid w:val="00900C03"/>
    <w:rsid w:val="009015C8"/>
    <w:rsid w:val="009034A9"/>
    <w:rsid w:val="00905285"/>
    <w:rsid w:val="0091711C"/>
    <w:rsid w:val="00921BD6"/>
    <w:rsid w:val="00922B7C"/>
    <w:rsid w:val="00923607"/>
    <w:rsid w:val="00926AD2"/>
    <w:rsid w:val="00927F9C"/>
    <w:rsid w:val="0093014C"/>
    <w:rsid w:val="00931F02"/>
    <w:rsid w:val="00933631"/>
    <w:rsid w:val="00935C32"/>
    <w:rsid w:val="00935EA0"/>
    <w:rsid w:val="00935EEB"/>
    <w:rsid w:val="00936224"/>
    <w:rsid w:val="00936605"/>
    <w:rsid w:val="00936797"/>
    <w:rsid w:val="009406F1"/>
    <w:rsid w:val="00947000"/>
    <w:rsid w:val="009500E4"/>
    <w:rsid w:val="00952F08"/>
    <w:rsid w:val="0095335F"/>
    <w:rsid w:val="0095471F"/>
    <w:rsid w:val="00956DF6"/>
    <w:rsid w:val="009575FA"/>
    <w:rsid w:val="00961FCA"/>
    <w:rsid w:val="0096306B"/>
    <w:rsid w:val="00963AAD"/>
    <w:rsid w:val="00964A7B"/>
    <w:rsid w:val="009706C4"/>
    <w:rsid w:val="00970D16"/>
    <w:rsid w:val="00972491"/>
    <w:rsid w:val="00974115"/>
    <w:rsid w:val="009745DE"/>
    <w:rsid w:val="00974DE5"/>
    <w:rsid w:val="00976CB2"/>
    <w:rsid w:val="00976DE8"/>
    <w:rsid w:val="009813F5"/>
    <w:rsid w:val="009825AA"/>
    <w:rsid w:val="009830BE"/>
    <w:rsid w:val="009831FA"/>
    <w:rsid w:val="009848C8"/>
    <w:rsid w:val="00984B42"/>
    <w:rsid w:val="00990DB3"/>
    <w:rsid w:val="0099160C"/>
    <w:rsid w:val="0099179E"/>
    <w:rsid w:val="00991C18"/>
    <w:rsid w:val="00995732"/>
    <w:rsid w:val="00995797"/>
    <w:rsid w:val="00995EFA"/>
    <w:rsid w:val="0099625A"/>
    <w:rsid w:val="0099707D"/>
    <w:rsid w:val="00997217"/>
    <w:rsid w:val="009A017C"/>
    <w:rsid w:val="009A05D8"/>
    <w:rsid w:val="009A339A"/>
    <w:rsid w:val="009A6232"/>
    <w:rsid w:val="009A741A"/>
    <w:rsid w:val="009B0814"/>
    <w:rsid w:val="009B145E"/>
    <w:rsid w:val="009B1689"/>
    <w:rsid w:val="009B2CA7"/>
    <w:rsid w:val="009B4837"/>
    <w:rsid w:val="009B4F5E"/>
    <w:rsid w:val="009B6133"/>
    <w:rsid w:val="009C374F"/>
    <w:rsid w:val="009C6DD5"/>
    <w:rsid w:val="009D0891"/>
    <w:rsid w:val="009D2E5D"/>
    <w:rsid w:val="009D3DFC"/>
    <w:rsid w:val="009D531F"/>
    <w:rsid w:val="009D6BE1"/>
    <w:rsid w:val="009D7306"/>
    <w:rsid w:val="009E27E1"/>
    <w:rsid w:val="009E4F2E"/>
    <w:rsid w:val="009E5E12"/>
    <w:rsid w:val="009E76BC"/>
    <w:rsid w:val="009E7D42"/>
    <w:rsid w:val="009F1369"/>
    <w:rsid w:val="009F1867"/>
    <w:rsid w:val="009F3F69"/>
    <w:rsid w:val="009F4F1C"/>
    <w:rsid w:val="009F4FD4"/>
    <w:rsid w:val="009F7778"/>
    <w:rsid w:val="00A042C7"/>
    <w:rsid w:val="00A0558E"/>
    <w:rsid w:val="00A06436"/>
    <w:rsid w:val="00A0666D"/>
    <w:rsid w:val="00A07672"/>
    <w:rsid w:val="00A1205A"/>
    <w:rsid w:val="00A130D7"/>
    <w:rsid w:val="00A13E38"/>
    <w:rsid w:val="00A144AA"/>
    <w:rsid w:val="00A15B8F"/>
    <w:rsid w:val="00A160AE"/>
    <w:rsid w:val="00A16FC8"/>
    <w:rsid w:val="00A17F17"/>
    <w:rsid w:val="00A2069B"/>
    <w:rsid w:val="00A217D0"/>
    <w:rsid w:val="00A219CE"/>
    <w:rsid w:val="00A21F9A"/>
    <w:rsid w:val="00A23573"/>
    <w:rsid w:val="00A245FC"/>
    <w:rsid w:val="00A24AA3"/>
    <w:rsid w:val="00A24BA1"/>
    <w:rsid w:val="00A24C8D"/>
    <w:rsid w:val="00A303CF"/>
    <w:rsid w:val="00A31381"/>
    <w:rsid w:val="00A34DE5"/>
    <w:rsid w:val="00A4204B"/>
    <w:rsid w:val="00A42BB4"/>
    <w:rsid w:val="00A442A1"/>
    <w:rsid w:val="00A456DD"/>
    <w:rsid w:val="00A45DE9"/>
    <w:rsid w:val="00A5027F"/>
    <w:rsid w:val="00A50E8A"/>
    <w:rsid w:val="00A518E3"/>
    <w:rsid w:val="00A5203A"/>
    <w:rsid w:val="00A53000"/>
    <w:rsid w:val="00A534C0"/>
    <w:rsid w:val="00A53645"/>
    <w:rsid w:val="00A541AF"/>
    <w:rsid w:val="00A547ED"/>
    <w:rsid w:val="00A54D3C"/>
    <w:rsid w:val="00A62CD7"/>
    <w:rsid w:val="00A64A39"/>
    <w:rsid w:val="00A7378A"/>
    <w:rsid w:val="00A74D56"/>
    <w:rsid w:val="00A752BE"/>
    <w:rsid w:val="00A75F55"/>
    <w:rsid w:val="00A779EE"/>
    <w:rsid w:val="00A80B10"/>
    <w:rsid w:val="00A82F8E"/>
    <w:rsid w:val="00A845AB"/>
    <w:rsid w:val="00A84925"/>
    <w:rsid w:val="00A8610E"/>
    <w:rsid w:val="00A862DA"/>
    <w:rsid w:val="00A871F3"/>
    <w:rsid w:val="00A9007A"/>
    <w:rsid w:val="00A91551"/>
    <w:rsid w:val="00A91797"/>
    <w:rsid w:val="00A9311C"/>
    <w:rsid w:val="00A931EA"/>
    <w:rsid w:val="00A9364E"/>
    <w:rsid w:val="00A93A52"/>
    <w:rsid w:val="00A94739"/>
    <w:rsid w:val="00A94781"/>
    <w:rsid w:val="00A95E83"/>
    <w:rsid w:val="00AA2A0A"/>
    <w:rsid w:val="00AA2BA7"/>
    <w:rsid w:val="00AA2CA9"/>
    <w:rsid w:val="00AA4EA6"/>
    <w:rsid w:val="00AA5878"/>
    <w:rsid w:val="00AA7CE1"/>
    <w:rsid w:val="00AB1893"/>
    <w:rsid w:val="00AB248C"/>
    <w:rsid w:val="00AB30FF"/>
    <w:rsid w:val="00AB418A"/>
    <w:rsid w:val="00AB53F5"/>
    <w:rsid w:val="00AB57F4"/>
    <w:rsid w:val="00AC086B"/>
    <w:rsid w:val="00AC1917"/>
    <w:rsid w:val="00AC26B2"/>
    <w:rsid w:val="00AC2C9C"/>
    <w:rsid w:val="00AC3DF8"/>
    <w:rsid w:val="00AC42CC"/>
    <w:rsid w:val="00AC59E5"/>
    <w:rsid w:val="00AC7CCE"/>
    <w:rsid w:val="00AC7E9E"/>
    <w:rsid w:val="00AD42B5"/>
    <w:rsid w:val="00AE1123"/>
    <w:rsid w:val="00AE3E3E"/>
    <w:rsid w:val="00AE47F5"/>
    <w:rsid w:val="00AE73E0"/>
    <w:rsid w:val="00AE795E"/>
    <w:rsid w:val="00AF39C8"/>
    <w:rsid w:val="00AF6A43"/>
    <w:rsid w:val="00AF70F4"/>
    <w:rsid w:val="00AF7D3C"/>
    <w:rsid w:val="00B0299F"/>
    <w:rsid w:val="00B064DF"/>
    <w:rsid w:val="00B07BD4"/>
    <w:rsid w:val="00B14CA7"/>
    <w:rsid w:val="00B15257"/>
    <w:rsid w:val="00B15E75"/>
    <w:rsid w:val="00B170CD"/>
    <w:rsid w:val="00B2487F"/>
    <w:rsid w:val="00B2597B"/>
    <w:rsid w:val="00B31008"/>
    <w:rsid w:val="00B311B5"/>
    <w:rsid w:val="00B3312B"/>
    <w:rsid w:val="00B33C82"/>
    <w:rsid w:val="00B34588"/>
    <w:rsid w:val="00B351B8"/>
    <w:rsid w:val="00B35A91"/>
    <w:rsid w:val="00B43308"/>
    <w:rsid w:val="00B446FE"/>
    <w:rsid w:val="00B45615"/>
    <w:rsid w:val="00B50F51"/>
    <w:rsid w:val="00B5124F"/>
    <w:rsid w:val="00B52EB1"/>
    <w:rsid w:val="00B54599"/>
    <w:rsid w:val="00B572BF"/>
    <w:rsid w:val="00B624DB"/>
    <w:rsid w:val="00B66086"/>
    <w:rsid w:val="00B66475"/>
    <w:rsid w:val="00B70736"/>
    <w:rsid w:val="00B71380"/>
    <w:rsid w:val="00B71764"/>
    <w:rsid w:val="00B777FA"/>
    <w:rsid w:val="00B80394"/>
    <w:rsid w:val="00B8120F"/>
    <w:rsid w:val="00B82CE5"/>
    <w:rsid w:val="00B854AB"/>
    <w:rsid w:val="00B90253"/>
    <w:rsid w:val="00B95D62"/>
    <w:rsid w:val="00BA119F"/>
    <w:rsid w:val="00BA1B38"/>
    <w:rsid w:val="00BA1D95"/>
    <w:rsid w:val="00BA2BAF"/>
    <w:rsid w:val="00BA46A8"/>
    <w:rsid w:val="00BA6561"/>
    <w:rsid w:val="00BB2480"/>
    <w:rsid w:val="00BB39F6"/>
    <w:rsid w:val="00BB54EA"/>
    <w:rsid w:val="00BC377C"/>
    <w:rsid w:val="00BC5DE0"/>
    <w:rsid w:val="00BC670F"/>
    <w:rsid w:val="00BC7202"/>
    <w:rsid w:val="00BD0AC1"/>
    <w:rsid w:val="00BD1095"/>
    <w:rsid w:val="00BD3D4D"/>
    <w:rsid w:val="00BD5615"/>
    <w:rsid w:val="00BD6975"/>
    <w:rsid w:val="00BD7416"/>
    <w:rsid w:val="00BE1128"/>
    <w:rsid w:val="00BE2481"/>
    <w:rsid w:val="00BE24D0"/>
    <w:rsid w:val="00BE277B"/>
    <w:rsid w:val="00BE5619"/>
    <w:rsid w:val="00BE68CE"/>
    <w:rsid w:val="00BE7911"/>
    <w:rsid w:val="00BE7EA3"/>
    <w:rsid w:val="00BF0766"/>
    <w:rsid w:val="00BF1B97"/>
    <w:rsid w:val="00BF256D"/>
    <w:rsid w:val="00BF292A"/>
    <w:rsid w:val="00BF303F"/>
    <w:rsid w:val="00BF7778"/>
    <w:rsid w:val="00BF7D78"/>
    <w:rsid w:val="00C02B7D"/>
    <w:rsid w:val="00C03F4C"/>
    <w:rsid w:val="00C04360"/>
    <w:rsid w:val="00C068D9"/>
    <w:rsid w:val="00C07042"/>
    <w:rsid w:val="00C10FD0"/>
    <w:rsid w:val="00C11514"/>
    <w:rsid w:val="00C13CE0"/>
    <w:rsid w:val="00C148C1"/>
    <w:rsid w:val="00C14B33"/>
    <w:rsid w:val="00C15DEA"/>
    <w:rsid w:val="00C21C74"/>
    <w:rsid w:val="00C232AF"/>
    <w:rsid w:val="00C26479"/>
    <w:rsid w:val="00C26DA8"/>
    <w:rsid w:val="00C2734F"/>
    <w:rsid w:val="00C31114"/>
    <w:rsid w:val="00C33643"/>
    <w:rsid w:val="00C33974"/>
    <w:rsid w:val="00C348EB"/>
    <w:rsid w:val="00C34920"/>
    <w:rsid w:val="00C355BF"/>
    <w:rsid w:val="00C35BBD"/>
    <w:rsid w:val="00C3747E"/>
    <w:rsid w:val="00C37728"/>
    <w:rsid w:val="00C40721"/>
    <w:rsid w:val="00C4492A"/>
    <w:rsid w:val="00C469CE"/>
    <w:rsid w:val="00C46DB7"/>
    <w:rsid w:val="00C4782B"/>
    <w:rsid w:val="00C5234C"/>
    <w:rsid w:val="00C5238D"/>
    <w:rsid w:val="00C5586D"/>
    <w:rsid w:val="00C602A9"/>
    <w:rsid w:val="00C6090C"/>
    <w:rsid w:val="00C60C29"/>
    <w:rsid w:val="00C616C0"/>
    <w:rsid w:val="00C622A9"/>
    <w:rsid w:val="00C64439"/>
    <w:rsid w:val="00C715C1"/>
    <w:rsid w:val="00C77010"/>
    <w:rsid w:val="00C77FF7"/>
    <w:rsid w:val="00C82F09"/>
    <w:rsid w:val="00C83EFB"/>
    <w:rsid w:val="00C90A51"/>
    <w:rsid w:val="00C91EFF"/>
    <w:rsid w:val="00C92C4A"/>
    <w:rsid w:val="00C932CB"/>
    <w:rsid w:val="00C958F2"/>
    <w:rsid w:val="00C95B31"/>
    <w:rsid w:val="00C95FB1"/>
    <w:rsid w:val="00C962F6"/>
    <w:rsid w:val="00C96AFD"/>
    <w:rsid w:val="00CA24F5"/>
    <w:rsid w:val="00CA516C"/>
    <w:rsid w:val="00CA6AD4"/>
    <w:rsid w:val="00CA755D"/>
    <w:rsid w:val="00CB231F"/>
    <w:rsid w:val="00CB36E3"/>
    <w:rsid w:val="00CC1BE0"/>
    <w:rsid w:val="00CC48DB"/>
    <w:rsid w:val="00CD1B51"/>
    <w:rsid w:val="00CD289A"/>
    <w:rsid w:val="00CD3781"/>
    <w:rsid w:val="00CD4B56"/>
    <w:rsid w:val="00CD4C91"/>
    <w:rsid w:val="00CD723B"/>
    <w:rsid w:val="00CE0D4F"/>
    <w:rsid w:val="00CE1C5A"/>
    <w:rsid w:val="00CE4D11"/>
    <w:rsid w:val="00CE67EB"/>
    <w:rsid w:val="00CE72C5"/>
    <w:rsid w:val="00CE7DF7"/>
    <w:rsid w:val="00CE7EC2"/>
    <w:rsid w:val="00CF004B"/>
    <w:rsid w:val="00CF014F"/>
    <w:rsid w:val="00CF17E8"/>
    <w:rsid w:val="00CF585D"/>
    <w:rsid w:val="00D01E9F"/>
    <w:rsid w:val="00D04BF2"/>
    <w:rsid w:val="00D04CF0"/>
    <w:rsid w:val="00D05B73"/>
    <w:rsid w:val="00D0672D"/>
    <w:rsid w:val="00D067C6"/>
    <w:rsid w:val="00D11706"/>
    <w:rsid w:val="00D119C8"/>
    <w:rsid w:val="00D13D88"/>
    <w:rsid w:val="00D145D7"/>
    <w:rsid w:val="00D15193"/>
    <w:rsid w:val="00D157E5"/>
    <w:rsid w:val="00D20AD4"/>
    <w:rsid w:val="00D21206"/>
    <w:rsid w:val="00D21212"/>
    <w:rsid w:val="00D226F3"/>
    <w:rsid w:val="00D23D36"/>
    <w:rsid w:val="00D2509F"/>
    <w:rsid w:val="00D2533D"/>
    <w:rsid w:val="00D30730"/>
    <w:rsid w:val="00D317B4"/>
    <w:rsid w:val="00D32DAA"/>
    <w:rsid w:val="00D32E72"/>
    <w:rsid w:val="00D334AB"/>
    <w:rsid w:val="00D34C8D"/>
    <w:rsid w:val="00D36612"/>
    <w:rsid w:val="00D416B6"/>
    <w:rsid w:val="00D43046"/>
    <w:rsid w:val="00D443F6"/>
    <w:rsid w:val="00D451EF"/>
    <w:rsid w:val="00D456F8"/>
    <w:rsid w:val="00D469D8"/>
    <w:rsid w:val="00D50BE5"/>
    <w:rsid w:val="00D52544"/>
    <w:rsid w:val="00D5564C"/>
    <w:rsid w:val="00D558A5"/>
    <w:rsid w:val="00D56133"/>
    <w:rsid w:val="00D564EA"/>
    <w:rsid w:val="00D57152"/>
    <w:rsid w:val="00D57ADD"/>
    <w:rsid w:val="00D61509"/>
    <w:rsid w:val="00D61CDE"/>
    <w:rsid w:val="00D62F12"/>
    <w:rsid w:val="00D630C2"/>
    <w:rsid w:val="00D6326D"/>
    <w:rsid w:val="00D63647"/>
    <w:rsid w:val="00D639EF"/>
    <w:rsid w:val="00D63F2C"/>
    <w:rsid w:val="00D65364"/>
    <w:rsid w:val="00D66927"/>
    <w:rsid w:val="00D702E7"/>
    <w:rsid w:val="00D720B4"/>
    <w:rsid w:val="00D7243A"/>
    <w:rsid w:val="00D755E6"/>
    <w:rsid w:val="00D76F6D"/>
    <w:rsid w:val="00D84EBA"/>
    <w:rsid w:val="00D860A2"/>
    <w:rsid w:val="00D8702A"/>
    <w:rsid w:val="00D878F5"/>
    <w:rsid w:val="00D90A08"/>
    <w:rsid w:val="00D91798"/>
    <w:rsid w:val="00D93133"/>
    <w:rsid w:val="00D9315F"/>
    <w:rsid w:val="00D936D6"/>
    <w:rsid w:val="00D9407E"/>
    <w:rsid w:val="00D95075"/>
    <w:rsid w:val="00D95469"/>
    <w:rsid w:val="00D95940"/>
    <w:rsid w:val="00DA08CC"/>
    <w:rsid w:val="00DA279E"/>
    <w:rsid w:val="00DA3A77"/>
    <w:rsid w:val="00DA5992"/>
    <w:rsid w:val="00DB1925"/>
    <w:rsid w:val="00DB40B1"/>
    <w:rsid w:val="00DB6F03"/>
    <w:rsid w:val="00DB7187"/>
    <w:rsid w:val="00DC1082"/>
    <w:rsid w:val="00DC11A8"/>
    <w:rsid w:val="00DC3CBC"/>
    <w:rsid w:val="00DC4743"/>
    <w:rsid w:val="00DC5CE2"/>
    <w:rsid w:val="00DC7287"/>
    <w:rsid w:val="00DC7C63"/>
    <w:rsid w:val="00DD26C7"/>
    <w:rsid w:val="00DD4088"/>
    <w:rsid w:val="00DD42A2"/>
    <w:rsid w:val="00DD4A63"/>
    <w:rsid w:val="00DD74D3"/>
    <w:rsid w:val="00DE1750"/>
    <w:rsid w:val="00DE1B0C"/>
    <w:rsid w:val="00DE4320"/>
    <w:rsid w:val="00DE772C"/>
    <w:rsid w:val="00DF0110"/>
    <w:rsid w:val="00DF0B23"/>
    <w:rsid w:val="00DF0D46"/>
    <w:rsid w:val="00DF1032"/>
    <w:rsid w:val="00DF3BD3"/>
    <w:rsid w:val="00E01BC9"/>
    <w:rsid w:val="00E04199"/>
    <w:rsid w:val="00E047B5"/>
    <w:rsid w:val="00E0534F"/>
    <w:rsid w:val="00E058FB"/>
    <w:rsid w:val="00E071BB"/>
    <w:rsid w:val="00E119D5"/>
    <w:rsid w:val="00E15BE9"/>
    <w:rsid w:val="00E16966"/>
    <w:rsid w:val="00E176C8"/>
    <w:rsid w:val="00E17CCC"/>
    <w:rsid w:val="00E20983"/>
    <w:rsid w:val="00E221B5"/>
    <w:rsid w:val="00E24353"/>
    <w:rsid w:val="00E25AB1"/>
    <w:rsid w:val="00E25BB5"/>
    <w:rsid w:val="00E30BB3"/>
    <w:rsid w:val="00E3291B"/>
    <w:rsid w:val="00E33CA9"/>
    <w:rsid w:val="00E33EBF"/>
    <w:rsid w:val="00E35852"/>
    <w:rsid w:val="00E37BFC"/>
    <w:rsid w:val="00E37DB1"/>
    <w:rsid w:val="00E40A1B"/>
    <w:rsid w:val="00E40E86"/>
    <w:rsid w:val="00E4103E"/>
    <w:rsid w:val="00E42C8C"/>
    <w:rsid w:val="00E42E96"/>
    <w:rsid w:val="00E43187"/>
    <w:rsid w:val="00E43275"/>
    <w:rsid w:val="00E43C42"/>
    <w:rsid w:val="00E45AB2"/>
    <w:rsid w:val="00E47222"/>
    <w:rsid w:val="00E47EB7"/>
    <w:rsid w:val="00E50990"/>
    <w:rsid w:val="00E50A60"/>
    <w:rsid w:val="00E532CF"/>
    <w:rsid w:val="00E53642"/>
    <w:rsid w:val="00E55119"/>
    <w:rsid w:val="00E57106"/>
    <w:rsid w:val="00E60E21"/>
    <w:rsid w:val="00E621E1"/>
    <w:rsid w:val="00E62235"/>
    <w:rsid w:val="00E623F7"/>
    <w:rsid w:val="00E65F2B"/>
    <w:rsid w:val="00E66630"/>
    <w:rsid w:val="00E673A9"/>
    <w:rsid w:val="00E70882"/>
    <w:rsid w:val="00E73C06"/>
    <w:rsid w:val="00E74476"/>
    <w:rsid w:val="00E7679E"/>
    <w:rsid w:val="00E82066"/>
    <w:rsid w:val="00E8464F"/>
    <w:rsid w:val="00E90450"/>
    <w:rsid w:val="00E90A3A"/>
    <w:rsid w:val="00E9227D"/>
    <w:rsid w:val="00E95067"/>
    <w:rsid w:val="00E964DE"/>
    <w:rsid w:val="00EA000E"/>
    <w:rsid w:val="00EA19D9"/>
    <w:rsid w:val="00EA48C9"/>
    <w:rsid w:val="00EA6837"/>
    <w:rsid w:val="00EB0485"/>
    <w:rsid w:val="00EB0F58"/>
    <w:rsid w:val="00EB115F"/>
    <w:rsid w:val="00EB25B0"/>
    <w:rsid w:val="00EB397A"/>
    <w:rsid w:val="00EB3B6E"/>
    <w:rsid w:val="00EB4D85"/>
    <w:rsid w:val="00EB5CFF"/>
    <w:rsid w:val="00EB6D70"/>
    <w:rsid w:val="00EB7675"/>
    <w:rsid w:val="00EB7C21"/>
    <w:rsid w:val="00EC55C4"/>
    <w:rsid w:val="00EC56FD"/>
    <w:rsid w:val="00ED12A5"/>
    <w:rsid w:val="00ED1EEC"/>
    <w:rsid w:val="00ED4DC9"/>
    <w:rsid w:val="00ED5FC5"/>
    <w:rsid w:val="00ED7D41"/>
    <w:rsid w:val="00EE0370"/>
    <w:rsid w:val="00EE140F"/>
    <w:rsid w:val="00EE15A9"/>
    <w:rsid w:val="00EE42DB"/>
    <w:rsid w:val="00EE5F8E"/>
    <w:rsid w:val="00EE63C8"/>
    <w:rsid w:val="00EE6608"/>
    <w:rsid w:val="00EE6FC2"/>
    <w:rsid w:val="00EF070A"/>
    <w:rsid w:val="00EF18B5"/>
    <w:rsid w:val="00EF21B3"/>
    <w:rsid w:val="00EF29B5"/>
    <w:rsid w:val="00EF2B4D"/>
    <w:rsid w:val="00EF3163"/>
    <w:rsid w:val="00EF3388"/>
    <w:rsid w:val="00EF424B"/>
    <w:rsid w:val="00EF53C5"/>
    <w:rsid w:val="00EF6C7C"/>
    <w:rsid w:val="00F00728"/>
    <w:rsid w:val="00F01F21"/>
    <w:rsid w:val="00F02819"/>
    <w:rsid w:val="00F02DF2"/>
    <w:rsid w:val="00F061F2"/>
    <w:rsid w:val="00F0689F"/>
    <w:rsid w:val="00F10ED1"/>
    <w:rsid w:val="00F12704"/>
    <w:rsid w:val="00F1379F"/>
    <w:rsid w:val="00F1408A"/>
    <w:rsid w:val="00F14C26"/>
    <w:rsid w:val="00F16221"/>
    <w:rsid w:val="00F205D3"/>
    <w:rsid w:val="00F21475"/>
    <w:rsid w:val="00F221DA"/>
    <w:rsid w:val="00F223B3"/>
    <w:rsid w:val="00F227AB"/>
    <w:rsid w:val="00F23C88"/>
    <w:rsid w:val="00F26AEC"/>
    <w:rsid w:val="00F32224"/>
    <w:rsid w:val="00F32E2A"/>
    <w:rsid w:val="00F3357A"/>
    <w:rsid w:val="00F33B0B"/>
    <w:rsid w:val="00F37B1D"/>
    <w:rsid w:val="00F4527D"/>
    <w:rsid w:val="00F4549F"/>
    <w:rsid w:val="00F53572"/>
    <w:rsid w:val="00F54D29"/>
    <w:rsid w:val="00F57924"/>
    <w:rsid w:val="00F602FE"/>
    <w:rsid w:val="00F60BC0"/>
    <w:rsid w:val="00F61399"/>
    <w:rsid w:val="00F61F9B"/>
    <w:rsid w:val="00F63C0A"/>
    <w:rsid w:val="00F642A0"/>
    <w:rsid w:val="00F65EC6"/>
    <w:rsid w:val="00F66012"/>
    <w:rsid w:val="00F66BCC"/>
    <w:rsid w:val="00F673F2"/>
    <w:rsid w:val="00F70873"/>
    <w:rsid w:val="00F70C05"/>
    <w:rsid w:val="00F71921"/>
    <w:rsid w:val="00F724BE"/>
    <w:rsid w:val="00F738F8"/>
    <w:rsid w:val="00F73D02"/>
    <w:rsid w:val="00F7406F"/>
    <w:rsid w:val="00F8161E"/>
    <w:rsid w:val="00F83A38"/>
    <w:rsid w:val="00F85594"/>
    <w:rsid w:val="00F85D20"/>
    <w:rsid w:val="00F8628A"/>
    <w:rsid w:val="00F90D5F"/>
    <w:rsid w:val="00F91365"/>
    <w:rsid w:val="00F92F2D"/>
    <w:rsid w:val="00F93D47"/>
    <w:rsid w:val="00F94A91"/>
    <w:rsid w:val="00F96610"/>
    <w:rsid w:val="00FA1288"/>
    <w:rsid w:val="00FA3514"/>
    <w:rsid w:val="00FB012F"/>
    <w:rsid w:val="00FB0722"/>
    <w:rsid w:val="00FB1CAC"/>
    <w:rsid w:val="00FB5C34"/>
    <w:rsid w:val="00FB7EBB"/>
    <w:rsid w:val="00FC120E"/>
    <w:rsid w:val="00FC2AC8"/>
    <w:rsid w:val="00FC5268"/>
    <w:rsid w:val="00FD0F54"/>
    <w:rsid w:val="00FD1B11"/>
    <w:rsid w:val="00FD3379"/>
    <w:rsid w:val="00FD3AFF"/>
    <w:rsid w:val="00FD798D"/>
    <w:rsid w:val="00FE0655"/>
    <w:rsid w:val="00FE3860"/>
    <w:rsid w:val="00FE4A77"/>
    <w:rsid w:val="00FF08D9"/>
    <w:rsid w:val="00FF25B6"/>
    <w:rsid w:val="00FF27F2"/>
    <w:rsid w:val="00FF31A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22C2C3"/>
  <w15:chartTrackingRefBased/>
  <w15:docId w15:val="{B770F7E2-DBFA-4AB4-A742-4BD30069D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8660E6"/>
    <w:pPr>
      <w:suppressAutoHyphens/>
      <w:spacing w:after="120" w:line="240" w:lineRule="auto"/>
      <w:jc w:val="both"/>
    </w:pPr>
    <w:rPr>
      <w:rFonts w:ascii="Verdana" w:hAnsi="Verdana"/>
      <w:color w:val="2D659A" w:themeColor="text2" w:themeShade="BF"/>
      <w:sz w:val="20"/>
      <w:szCs w:val="24"/>
    </w:rPr>
  </w:style>
  <w:style w:type="paragraph" w:styleId="Heading1">
    <w:name w:val="heading 1"/>
    <w:basedOn w:val="Normal"/>
    <w:next w:val="Normal"/>
    <w:link w:val="Heading1Char"/>
    <w:autoRedefine/>
    <w:uiPriority w:val="9"/>
    <w:qFormat/>
    <w:rsid w:val="00466003"/>
    <w:pPr>
      <w:keepNext/>
      <w:keepLines/>
      <w:spacing w:before="400"/>
      <w:outlineLvl w:val="0"/>
    </w:pPr>
    <w:rPr>
      <w:rFonts w:eastAsiaTheme="majorEastAsia" w:cstheme="majorBidi"/>
      <w:b/>
      <w:color w:val="006E95" w:themeColor="text1"/>
      <w:sz w:val="36"/>
      <w:szCs w:val="36"/>
    </w:rPr>
  </w:style>
  <w:style w:type="paragraph" w:styleId="Heading2">
    <w:name w:val="heading 2"/>
    <w:basedOn w:val="Normal"/>
    <w:next w:val="Normal"/>
    <w:link w:val="Heading2Char"/>
    <w:autoRedefine/>
    <w:uiPriority w:val="9"/>
    <w:unhideWhenUsed/>
    <w:qFormat/>
    <w:rsid w:val="003A227A"/>
    <w:pPr>
      <w:keepNext/>
      <w:keepLines/>
      <w:spacing w:before="40"/>
      <w:outlineLvl w:val="1"/>
    </w:pPr>
    <w:rPr>
      <w:rFonts w:eastAsiaTheme="majorEastAsia" w:cstheme="majorBidi"/>
      <w:color w:val="006E95" w:themeColor="text1"/>
      <w:sz w:val="32"/>
      <w:szCs w:val="32"/>
    </w:rPr>
  </w:style>
  <w:style w:type="paragraph" w:styleId="Heading3">
    <w:name w:val="heading 3"/>
    <w:basedOn w:val="Normal"/>
    <w:next w:val="Normal"/>
    <w:link w:val="Heading3Char"/>
    <w:autoRedefine/>
    <w:uiPriority w:val="9"/>
    <w:unhideWhenUsed/>
    <w:qFormat/>
    <w:rsid w:val="00466003"/>
    <w:pPr>
      <w:keepNext/>
      <w:keepLines/>
      <w:spacing w:before="40"/>
      <w:outlineLvl w:val="2"/>
    </w:pPr>
    <w:rPr>
      <w:rFonts w:eastAsiaTheme="majorEastAsia" w:cstheme="majorBidi"/>
      <w:color w:val="006E95" w:themeColor="text1"/>
      <w:sz w:val="28"/>
    </w:rPr>
  </w:style>
  <w:style w:type="paragraph" w:styleId="Heading4">
    <w:name w:val="heading 4"/>
    <w:basedOn w:val="Normal"/>
    <w:next w:val="Normal"/>
    <w:link w:val="Heading4Char"/>
    <w:autoRedefine/>
    <w:uiPriority w:val="9"/>
    <w:unhideWhenUsed/>
    <w:qFormat/>
    <w:rsid w:val="00466003"/>
    <w:pPr>
      <w:keepNext/>
      <w:keepLines/>
      <w:spacing w:before="40" w:after="0"/>
      <w:outlineLvl w:val="3"/>
    </w:pPr>
    <w:rPr>
      <w:rFonts w:eastAsiaTheme="majorEastAsia" w:cstheme="majorBidi"/>
      <w:i/>
      <w:iCs/>
      <w:color w:val="006E95" w:themeColor="text1"/>
    </w:rPr>
  </w:style>
  <w:style w:type="paragraph" w:styleId="Heading5">
    <w:name w:val="heading 5"/>
    <w:basedOn w:val="Normal"/>
    <w:next w:val="Normal"/>
    <w:link w:val="Heading5Char"/>
    <w:autoRedefine/>
    <w:uiPriority w:val="9"/>
    <w:unhideWhenUsed/>
    <w:qFormat/>
    <w:rsid w:val="00466003"/>
    <w:pPr>
      <w:keepNext/>
      <w:keepLines/>
      <w:spacing w:before="40" w:after="0"/>
      <w:outlineLvl w:val="4"/>
    </w:pPr>
    <w:rPr>
      <w:rFonts w:eastAsiaTheme="majorEastAsia" w:cstheme="majorBidi"/>
      <w:color w:val="006E95" w:themeColor="text1"/>
    </w:rPr>
  </w:style>
  <w:style w:type="paragraph" w:styleId="Heading6">
    <w:name w:val="heading 6"/>
    <w:basedOn w:val="Normal"/>
    <w:next w:val="Normal"/>
    <w:link w:val="Heading6Char"/>
    <w:autoRedefine/>
    <w:uiPriority w:val="9"/>
    <w:semiHidden/>
    <w:unhideWhenUsed/>
    <w:qFormat/>
    <w:rsid w:val="004C1544"/>
    <w:pPr>
      <w:keepNext/>
      <w:keepLines/>
      <w:spacing w:before="40" w:after="0"/>
      <w:outlineLvl w:val="5"/>
    </w:pPr>
    <w:rPr>
      <w:rFonts w:eastAsiaTheme="majorEastAsia" w:cstheme="majorBidi"/>
      <w:color w:val="3F4B79"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utoRedefine/>
    <w:uiPriority w:val="1"/>
    <w:qFormat/>
    <w:rsid w:val="008A14C1"/>
    <w:pPr>
      <w:spacing w:after="0" w:line="240" w:lineRule="auto"/>
    </w:pPr>
    <w:rPr>
      <w:rFonts w:ascii="Segoe UI Semilight" w:eastAsiaTheme="minorEastAsia" w:hAnsi="Segoe UI Semilight"/>
    </w:rPr>
  </w:style>
  <w:style w:type="character" w:customStyle="1" w:styleId="Heading1Char">
    <w:name w:val="Heading 1 Char"/>
    <w:basedOn w:val="DefaultParagraphFont"/>
    <w:link w:val="Heading1"/>
    <w:uiPriority w:val="9"/>
    <w:rsid w:val="00466003"/>
    <w:rPr>
      <w:rFonts w:ascii="Verdana" w:eastAsiaTheme="majorEastAsia" w:hAnsi="Verdana" w:cstheme="majorBidi"/>
      <w:b/>
      <w:color w:val="006E95" w:themeColor="text1"/>
      <w:sz w:val="36"/>
      <w:szCs w:val="36"/>
      <w:lang w:val="en-US"/>
    </w:rPr>
  </w:style>
  <w:style w:type="character" w:customStyle="1" w:styleId="Heading2Char">
    <w:name w:val="Heading 2 Char"/>
    <w:basedOn w:val="DefaultParagraphFont"/>
    <w:link w:val="Heading2"/>
    <w:uiPriority w:val="9"/>
    <w:rsid w:val="003A227A"/>
    <w:rPr>
      <w:rFonts w:ascii="Verdana" w:eastAsiaTheme="majorEastAsia" w:hAnsi="Verdana" w:cstheme="majorBidi"/>
      <w:color w:val="006E95" w:themeColor="text1"/>
      <w:sz w:val="32"/>
      <w:szCs w:val="32"/>
    </w:rPr>
  </w:style>
  <w:style w:type="paragraph" w:styleId="Title">
    <w:name w:val="Title"/>
    <w:basedOn w:val="Normal"/>
    <w:next w:val="Normal"/>
    <w:link w:val="TitleChar"/>
    <w:autoRedefine/>
    <w:uiPriority w:val="10"/>
    <w:qFormat/>
    <w:rsid w:val="00EF070A"/>
    <w:pPr>
      <w:spacing w:line="204" w:lineRule="auto"/>
      <w:contextualSpacing/>
    </w:pPr>
    <w:rPr>
      <w:rFonts w:eastAsiaTheme="majorEastAsia" w:cstheme="majorBidi"/>
      <w:b/>
      <w:caps/>
      <w:color w:val="006E95" w:themeColor="text1"/>
      <w:spacing w:val="-15"/>
      <w:sz w:val="36"/>
      <w:szCs w:val="72"/>
    </w:rPr>
  </w:style>
  <w:style w:type="character" w:customStyle="1" w:styleId="TitleChar">
    <w:name w:val="Title Char"/>
    <w:basedOn w:val="DefaultParagraphFont"/>
    <w:link w:val="Title"/>
    <w:uiPriority w:val="10"/>
    <w:rsid w:val="00EF070A"/>
    <w:rPr>
      <w:rFonts w:ascii="Verdana" w:eastAsiaTheme="majorEastAsia" w:hAnsi="Verdana" w:cstheme="majorBidi"/>
      <w:b/>
      <w:caps/>
      <w:color w:val="006E95" w:themeColor="text1"/>
      <w:spacing w:val="-15"/>
      <w:sz w:val="36"/>
      <w:szCs w:val="72"/>
    </w:rPr>
  </w:style>
  <w:style w:type="paragraph" w:styleId="Subtitle">
    <w:name w:val="Subtitle"/>
    <w:basedOn w:val="Normal"/>
    <w:next w:val="Normal"/>
    <w:link w:val="SubtitleChar"/>
    <w:autoRedefine/>
    <w:uiPriority w:val="11"/>
    <w:qFormat/>
    <w:rsid w:val="00B2597B"/>
    <w:pPr>
      <w:numPr>
        <w:ilvl w:val="1"/>
      </w:numPr>
      <w:spacing w:after="240"/>
    </w:pPr>
    <w:rPr>
      <w:rFonts w:eastAsiaTheme="majorEastAsia" w:cstheme="majorBidi"/>
      <w:color w:val="006E95" w:themeColor="text1"/>
      <w:sz w:val="28"/>
      <w:szCs w:val="28"/>
    </w:rPr>
  </w:style>
  <w:style w:type="character" w:customStyle="1" w:styleId="SubtitleChar">
    <w:name w:val="Subtitle Char"/>
    <w:basedOn w:val="DefaultParagraphFont"/>
    <w:link w:val="Subtitle"/>
    <w:uiPriority w:val="11"/>
    <w:rsid w:val="00B2597B"/>
    <w:rPr>
      <w:rFonts w:ascii="Verdana" w:eastAsiaTheme="majorEastAsia" w:hAnsi="Verdana" w:cstheme="majorBidi"/>
      <w:color w:val="006E95" w:themeColor="text1"/>
      <w:sz w:val="28"/>
      <w:szCs w:val="28"/>
      <w:lang w:val="en-US"/>
    </w:rPr>
  </w:style>
  <w:style w:type="character" w:customStyle="1" w:styleId="Heading3Char">
    <w:name w:val="Heading 3 Char"/>
    <w:basedOn w:val="DefaultParagraphFont"/>
    <w:link w:val="Heading3"/>
    <w:uiPriority w:val="9"/>
    <w:rsid w:val="00466003"/>
    <w:rPr>
      <w:rFonts w:ascii="Verdana" w:eastAsiaTheme="majorEastAsia" w:hAnsi="Verdana" w:cstheme="majorBidi"/>
      <w:color w:val="006E95" w:themeColor="text1"/>
      <w:sz w:val="28"/>
      <w:szCs w:val="24"/>
      <w:lang w:val="en-US"/>
    </w:rPr>
  </w:style>
  <w:style w:type="character" w:styleId="Emphasis">
    <w:name w:val="Emphasis"/>
    <w:basedOn w:val="DefaultParagraphFont"/>
    <w:uiPriority w:val="20"/>
    <w:qFormat/>
    <w:rsid w:val="001F6B94"/>
    <w:rPr>
      <w:rFonts w:ascii="Verdana" w:hAnsi="Verdana"/>
      <w:i/>
      <w:iCs/>
      <w:color w:val="4288C8" w:themeColor="text2"/>
      <w:sz w:val="18"/>
    </w:rPr>
  </w:style>
  <w:style w:type="paragraph" w:customStyle="1" w:styleId="Normal2">
    <w:name w:val="Normal 2"/>
    <w:basedOn w:val="Normal"/>
    <w:link w:val="Normal2Char"/>
    <w:autoRedefine/>
    <w:qFormat/>
    <w:rsid w:val="001F6B94"/>
    <w:rPr>
      <w:rFonts w:ascii="Segoe UI Semilight" w:hAnsi="Segoe UI Semilight"/>
      <w:sz w:val="22"/>
      <w:lang w:val="fr-BE"/>
    </w:rPr>
  </w:style>
  <w:style w:type="character" w:customStyle="1" w:styleId="Normal2Char">
    <w:name w:val="Normal 2 Char"/>
    <w:basedOn w:val="DefaultParagraphFont"/>
    <w:link w:val="Normal2"/>
    <w:rsid w:val="001F6B94"/>
    <w:rPr>
      <w:rFonts w:ascii="Segoe UI Semilight" w:eastAsiaTheme="minorEastAsia" w:hAnsi="Segoe UI Semilight"/>
      <w:color w:val="4288C8" w:themeColor="text2"/>
      <w:lang w:val="fr-BE"/>
    </w:rPr>
  </w:style>
  <w:style w:type="paragraph" w:styleId="IntenseQuote">
    <w:name w:val="Intense Quote"/>
    <w:basedOn w:val="Normal"/>
    <w:next w:val="Normal"/>
    <w:link w:val="IntenseQuoteChar"/>
    <w:autoRedefine/>
    <w:uiPriority w:val="30"/>
    <w:qFormat/>
    <w:rsid w:val="001F6B94"/>
    <w:pPr>
      <w:pBdr>
        <w:top w:val="single" w:sz="4" w:space="10" w:color="3F4B79" w:themeColor="accent5"/>
        <w:bottom w:val="single" w:sz="4" w:space="10" w:color="3F4B79" w:themeColor="accent5"/>
      </w:pBdr>
      <w:spacing w:before="360" w:after="360"/>
      <w:ind w:left="864" w:right="864"/>
      <w:jc w:val="center"/>
    </w:pPr>
    <w:rPr>
      <w:i/>
      <w:iCs/>
      <w:color w:val="3F4B79" w:themeColor="accent5"/>
    </w:rPr>
  </w:style>
  <w:style w:type="character" w:customStyle="1" w:styleId="IntenseQuoteChar">
    <w:name w:val="Intense Quote Char"/>
    <w:basedOn w:val="DefaultParagraphFont"/>
    <w:link w:val="IntenseQuote"/>
    <w:uiPriority w:val="30"/>
    <w:rsid w:val="001F6B94"/>
    <w:rPr>
      <w:rFonts w:ascii="Verdana" w:eastAsiaTheme="minorEastAsia" w:hAnsi="Verdana"/>
      <w:i/>
      <w:iCs/>
      <w:color w:val="3F4B79" w:themeColor="accent5"/>
      <w:sz w:val="18"/>
    </w:rPr>
  </w:style>
  <w:style w:type="table" w:styleId="GridTable6Colorful-Accent5">
    <w:name w:val="Grid Table 6 Colorful Accent 5"/>
    <w:basedOn w:val="TableNormal"/>
    <w:uiPriority w:val="51"/>
    <w:rsid w:val="001F6B94"/>
    <w:pPr>
      <w:spacing w:after="0" w:line="240" w:lineRule="auto"/>
    </w:pPr>
    <w:rPr>
      <w:rFonts w:ascii="Verdana" w:hAnsi="Verdana"/>
      <w:color w:val="006E95" w:themeColor="text1"/>
      <w:sz w:val="18"/>
    </w:rPr>
    <w:tblPr>
      <w:tblStyleRowBandSize w:val="1"/>
      <w:tblStyleColBandSize w:val="1"/>
      <w:tblBorders>
        <w:top w:val="single" w:sz="4" w:space="0" w:color="7E8ABC" w:themeColor="accent5" w:themeTint="99"/>
        <w:left w:val="single" w:sz="4" w:space="0" w:color="7E8ABC" w:themeColor="accent5" w:themeTint="99"/>
        <w:bottom w:val="single" w:sz="4" w:space="0" w:color="7E8ABC" w:themeColor="accent5" w:themeTint="99"/>
        <w:right w:val="single" w:sz="4" w:space="0" w:color="7E8ABC" w:themeColor="accent5" w:themeTint="99"/>
        <w:insideH w:val="single" w:sz="4" w:space="0" w:color="7E8ABC" w:themeColor="accent5" w:themeTint="99"/>
        <w:insideV w:val="single" w:sz="4" w:space="0" w:color="7E8ABC" w:themeColor="accent5" w:themeTint="99"/>
      </w:tblBorders>
    </w:tblPr>
    <w:tblStylePr w:type="firstRow">
      <w:rPr>
        <w:rFonts w:ascii="Verdana" w:hAnsi="Verdana"/>
        <w:b w:val="0"/>
        <w:bCs/>
        <w:color w:val="FFFFFF" w:themeColor="background1"/>
      </w:rPr>
      <w:tblPr/>
      <w:tcPr>
        <w:shd w:val="clear" w:color="auto" w:fill="2F385A" w:themeFill="accent5" w:themeFillShade="BF"/>
      </w:tcPr>
    </w:tblStylePr>
    <w:tblStylePr w:type="lastRow">
      <w:rPr>
        <w:b/>
        <w:bCs/>
      </w:rPr>
      <w:tblPr/>
      <w:tcPr>
        <w:tcBorders>
          <w:top w:val="double" w:sz="4" w:space="0" w:color="7E8ABC" w:themeColor="accent5" w:themeTint="99"/>
        </w:tcBorders>
      </w:tcPr>
    </w:tblStylePr>
    <w:tblStylePr w:type="firstCol">
      <w:rPr>
        <w:b/>
        <w:bCs/>
      </w:rPr>
    </w:tblStylePr>
    <w:tblStylePr w:type="lastCol">
      <w:rPr>
        <w:b/>
        <w:bCs/>
      </w:rPr>
    </w:tblStylePr>
    <w:tblStylePr w:type="band1Vert">
      <w:tblPr/>
      <w:tcPr>
        <w:shd w:val="clear" w:color="auto" w:fill="D4D8E8" w:themeFill="accent5" w:themeFillTint="33"/>
      </w:tcPr>
    </w:tblStylePr>
    <w:tblStylePr w:type="band1Horz">
      <w:tblPr/>
      <w:tcPr>
        <w:shd w:val="clear" w:color="auto" w:fill="D4D8E8" w:themeFill="accent5" w:themeFillTint="33"/>
      </w:tcPr>
    </w:tblStylePr>
  </w:style>
  <w:style w:type="table" w:styleId="GridTable4">
    <w:name w:val="Grid Table 4"/>
    <w:basedOn w:val="TableNormal"/>
    <w:uiPriority w:val="49"/>
    <w:rsid w:val="003011F5"/>
    <w:pPr>
      <w:spacing w:after="0" w:line="240" w:lineRule="auto"/>
    </w:pPr>
    <w:tblPr>
      <w:tblStyleRowBandSize w:val="1"/>
      <w:tblStyleColBandSize w:val="1"/>
      <w:tblBorders>
        <w:top w:val="single" w:sz="4" w:space="0" w:color="006E95" w:themeColor="text1"/>
        <w:left w:val="single" w:sz="4" w:space="0" w:color="006E95" w:themeColor="text1"/>
        <w:bottom w:val="single" w:sz="4" w:space="0" w:color="006E95" w:themeColor="text1"/>
        <w:right w:val="single" w:sz="4" w:space="0" w:color="006E95" w:themeColor="text1"/>
        <w:insideH w:val="single" w:sz="4" w:space="0" w:color="006E95" w:themeColor="text1"/>
        <w:insideV w:val="single" w:sz="4" w:space="0" w:color="006E95" w:themeColor="text1"/>
      </w:tblBorders>
    </w:tblPr>
    <w:tcPr>
      <w:shd w:val="clear" w:color="auto" w:fill="auto"/>
    </w:tcPr>
    <w:tblStylePr w:type="firstRow">
      <w:rPr>
        <w:b/>
        <w:bCs/>
        <w:color w:val="FFFFFF" w:themeColor="background1"/>
      </w:rPr>
      <w:tblPr/>
      <w:tcPr>
        <w:tcBorders>
          <w:top w:val="single" w:sz="4" w:space="0" w:color="006E95" w:themeColor="text1"/>
          <w:left w:val="single" w:sz="4" w:space="0" w:color="006E95" w:themeColor="text1"/>
          <w:bottom w:val="single" w:sz="4" w:space="0" w:color="006E95" w:themeColor="text1"/>
          <w:right w:val="single" w:sz="4" w:space="0" w:color="006E95" w:themeColor="text1"/>
          <w:insideH w:val="nil"/>
          <w:insideV w:val="nil"/>
        </w:tcBorders>
        <w:shd w:val="clear" w:color="auto" w:fill="006E95" w:themeFill="text1"/>
      </w:tcPr>
    </w:tblStylePr>
    <w:tblStylePr w:type="lastRow">
      <w:rPr>
        <w:b/>
        <w:bCs/>
      </w:rPr>
      <w:tblPr/>
      <w:tcPr>
        <w:tcBorders>
          <w:top w:val="double" w:sz="4" w:space="0" w:color="006E95" w:themeColor="text1"/>
        </w:tcBorders>
      </w:tcPr>
    </w:tblStylePr>
    <w:tblStylePr w:type="firstCol">
      <w:rPr>
        <w:b w:val="0"/>
        <w:bCs/>
      </w:rPr>
    </w:tblStylePr>
    <w:tblStylePr w:type="lastCol">
      <w:rPr>
        <w:b w:val="0"/>
        <w:bCs/>
      </w:rPr>
    </w:tblStylePr>
    <w:tblStylePr w:type="band1Vert">
      <w:tblPr/>
      <w:tcPr>
        <w:shd w:val="clear" w:color="auto" w:fill="B6EBFF" w:themeFill="text1" w:themeFillTint="33"/>
      </w:tcPr>
    </w:tblStylePr>
    <w:tblStylePr w:type="band1Horz">
      <w:tblPr/>
      <w:tcPr>
        <w:shd w:val="clear" w:color="auto" w:fill="D4D8E8" w:themeFill="accent5" w:themeFillTint="33"/>
      </w:tcPr>
    </w:tblStylePr>
  </w:style>
  <w:style w:type="paragraph" w:customStyle="1" w:styleId="Bold">
    <w:name w:val="Bold"/>
    <w:basedOn w:val="Normal"/>
    <w:autoRedefine/>
    <w:qFormat/>
    <w:rsid w:val="00A75F55"/>
    <w:pPr>
      <w:ind w:left="1134" w:hanging="1134"/>
      <w:outlineLvl w:val="0"/>
    </w:pPr>
    <w:rPr>
      <w:b/>
      <w:color w:val="006E95" w:themeColor="text1"/>
    </w:rPr>
  </w:style>
  <w:style w:type="character" w:customStyle="1" w:styleId="Heading4Char">
    <w:name w:val="Heading 4 Char"/>
    <w:basedOn w:val="DefaultParagraphFont"/>
    <w:link w:val="Heading4"/>
    <w:uiPriority w:val="9"/>
    <w:rsid w:val="00466003"/>
    <w:rPr>
      <w:rFonts w:ascii="Verdana" w:eastAsiaTheme="majorEastAsia" w:hAnsi="Verdana" w:cstheme="majorBidi"/>
      <w:i/>
      <w:iCs/>
      <w:color w:val="006E95" w:themeColor="text1"/>
      <w:sz w:val="20"/>
      <w:szCs w:val="24"/>
      <w:lang w:val="en-US"/>
    </w:rPr>
  </w:style>
  <w:style w:type="character" w:customStyle="1" w:styleId="Heading5Char">
    <w:name w:val="Heading 5 Char"/>
    <w:basedOn w:val="DefaultParagraphFont"/>
    <w:link w:val="Heading5"/>
    <w:uiPriority w:val="9"/>
    <w:rsid w:val="00466003"/>
    <w:rPr>
      <w:rFonts w:ascii="Verdana" w:eastAsiaTheme="majorEastAsia" w:hAnsi="Verdana" w:cstheme="majorBidi"/>
      <w:color w:val="006E95" w:themeColor="text1"/>
      <w:sz w:val="20"/>
      <w:szCs w:val="24"/>
      <w:lang w:val="en-US"/>
    </w:rPr>
  </w:style>
  <w:style w:type="paragraph" w:styleId="Header">
    <w:name w:val="header"/>
    <w:basedOn w:val="Normal"/>
    <w:link w:val="HeaderChar"/>
    <w:uiPriority w:val="99"/>
    <w:unhideWhenUsed/>
    <w:rsid w:val="00ED12A5"/>
    <w:pPr>
      <w:tabs>
        <w:tab w:val="center" w:pos="4513"/>
        <w:tab w:val="right" w:pos="9026"/>
      </w:tabs>
      <w:spacing w:after="0"/>
    </w:pPr>
  </w:style>
  <w:style w:type="character" w:customStyle="1" w:styleId="HeaderChar">
    <w:name w:val="Header Char"/>
    <w:basedOn w:val="DefaultParagraphFont"/>
    <w:link w:val="Header"/>
    <w:uiPriority w:val="99"/>
    <w:rsid w:val="00ED12A5"/>
    <w:rPr>
      <w:rFonts w:ascii="Verdana" w:hAnsi="Verdana"/>
      <w:color w:val="4288C8" w:themeColor="text2"/>
      <w:sz w:val="20"/>
      <w:szCs w:val="24"/>
      <w:lang w:val="en-US"/>
    </w:rPr>
  </w:style>
  <w:style w:type="paragraph" w:styleId="Footer">
    <w:name w:val="footer"/>
    <w:basedOn w:val="Normal"/>
    <w:link w:val="FooterChar"/>
    <w:uiPriority w:val="99"/>
    <w:unhideWhenUsed/>
    <w:rsid w:val="00ED12A5"/>
    <w:pPr>
      <w:tabs>
        <w:tab w:val="center" w:pos="4513"/>
        <w:tab w:val="right" w:pos="9026"/>
      </w:tabs>
      <w:spacing w:after="0"/>
    </w:pPr>
  </w:style>
  <w:style w:type="character" w:customStyle="1" w:styleId="FooterChar">
    <w:name w:val="Footer Char"/>
    <w:basedOn w:val="DefaultParagraphFont"/>
    <w:link w:val="Footer"/>
    <w:uiPriority w:val="99"/>
    <w:rsid w:val="00ED12A5"/>
    <w:rPr>
      <w:rFonts w:ascii="Verdana" w:hAnsi="Verdana"/>
      <w:color w:val="4288C8" w:themeColor="text2"/>
      <w:sz w:val="20"/>
      <w:szCs w:val="24"/>
      <w:lang w:val="en-US"/>
    </w:rPr>
  </w:style>
  <w:style w:type="paragraph" w:customStyle="1" w:styleId="Footnote">
    <w:name w:val="Footnote"/>
    <w:basedOn w:val="Normal"/>
    <w:uiPriority w:val="99"/>
    <w:rsid w:val="00ED12A5"/>
    <w:pPr>
      <w:suppressAutoHyphens w:val="0"/>
      <w:spacing w:after="0"/>
    </w:pPr>
    <w:rPr>
      <w:rFonts w:eastAsiaTheme="minorEastAsia"/>
      <w:sz w:val="18"/>
      <w:szCs w:val="22"/>
    </w:rPr>
  </w:style>
  <w:style w:type="character" w:styleId="PageNumber">
    <w:name w:val="page number"/>
    <w:basedOn w:val="DefaultParagraphFont"/>
    <w:uiPriority w:val="99"/>
    <w:semiHidden/>
    <w:unhideWhenUsed/>
    <w:rsid w:val="00ED12A5"/>
  </w:style>
  <w:style w:type="character" w:customStyle="1" w:styleId="Heading6Char">
    <w:name w:val="Heading 6 Char"/>
    <w:basedOn w:val="DefaultParagraphFont"/>
    <w:link w:val="Heading6"/>
    <w:uiPriority w:val="9"/>
    <w:semiHidden/>
    <w:rsid w:val="004C1544"/>
    <w:rPr>
      <w:rFonts w:ascii="Verdana" w:eastAsiaTheme="majorEastAsia" w:hAnsi="Verdana" w:cstheme="majorBidi"/>
      <w:color w:val="3F4B79" w:themeColor="accent5"/>
      <w:sz w:val="20"/>
      <w:szCs w:val="24"/>
      <w:lang w:val="en-US"/>
    </w:rPr>
  </w:style>
  <w:style w:type="table" w:styleId="TableGrid">
    <w:name w:val="Table Grid"/>
    <w:basedOn w:val="TableNormal"/>
    <w:uiPriority w:val="59"/>
    <w:rsid w:val="003011F5"/>
    <w:pPr>
      <w:spacing w:after="0" w:line="240" w:lineRule="auto"/>
    </w:pPr>
    <w:rPr>
      <w:rFonts w:ascii="Verdana" w:hAnsi="Verdana"/>
      <w:color w:val="006E95" w:themeColor="text1"/>
      <w:sz w:val="20"/>
      <w:szCs w:val="24"/>
      <w:lang w:val="en-US"/>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Verdana" w:hAnsi="Verdana"/>
        <w:b w:val="0"/>
        <w:i w:val="0"/>
        <w:color w:val="FFFFFF" w:themeColor="background1"/>
        <w:sz w:val="18"/>
        <w:u w:color="FFFFFF" w:themeColor="background1"/>
      </w:rPr>
      <w:tblPr/>
      <w:tcPr>
        <w:shd w:val="clear" w:color="auto" w:fill="006E95" w:themeFill="text1"/>
      </w:tcPr>
    </w:tblStylePr>
    <w:tblStylePr w:type="band1Horz">
      <w:tblPr/>
      <w:tcPr>
        <w:shd w:val="clear" w:color="auto" w:fill="D4D8E8" w:themeFill="accent5" w:themeFillTint="33"/>
      </w:tcPr>
    </w:tblStylePr>
  </w:style>
  <w:style w:type="character" w:styleId="SubtleEmphasis">
    <w:name w:val="Subtle Emphasis"/>
    <w:basedOn w:val="DefaultParagraphFont"/>
    <w:uiPriority w:val="19"/>
    <w:qFormat/>
    <w:rsid w:val="004C1544"/>
    <w:rPr>
      <w:rFonts w:ascii="Verdana" w:hAnsi="Verdana"/>
      <w:i/>
      <w:iCs/>
      <w:color w:val="00B0EF" w:themeColor="text1" w:themeTint="BF"/>
    </w:rPr>
  </w:style>
  <w:style w:type="paragraph" w:styleId="ListParagraph">
    <w:name w:val="List Paragraph"/>
    <w:basedOn w:val="Normal"/>
    <w:uiPriority w:val="34"/>
    <w:qFormat/>
    <w:rsid w:val="008660E6"/>
    <w:pPr>
      <w:ind w:left="720"/>
      <w:contextualSpacing/>
    </w:pPr>
  </w:style>
  <w:style w:type="paragraph" w:styleId="FootnoteText">
    <w:name w:val="footnote text"/>
    <w:basedOn w:val="Normal"/>
    <w:link w:val="FootnoteTextChar"/>
    <w:uiPriority w:val="99"/>
    <w:semiHidden/>
    <w:unhideWhenUsed/>
    <w:rsid w:val="00D20AD4"/>
    <w:pPr>
      <w:spacing w:after="0"/>
    </w:pPr>
    <w:rPr>
      <w:szCs w:val="20"/>
    </w:rPr>
  </w:style>
  <w:style w:type="character" w:customStyle="1" w:styleId="FootnoteTextChar">
    <w:name w:val="Footnote Text Char"/>
    <w:basedOn w:val="DefaultParagraphFont"/>
    <w:link w:val="FootnoteText"/>
    <w:uiPriority w:val="99"/>
    <w:semiHidden/>
    <w:rsid w:val="00D20AD4"/>
    <w:rPr>
      <w:rFonts w:ascii="Verdana" w:hAnsi="Verdana"/>
      <w:color w:val="2D659A" w:themeColor="text2" w:themeShade="BF"/>
      <w:sz w:val="20"/>
      <w:szCs w:val="20"/>
    </w:rPr>
  </w:style>
  <w:style w:type="character" w:styleId="FootnoteReference">
    <w:name w:val="footnote reference"/>
    <w:basedOn w:val="DefaultParagraphFont"/>
    <w:uiPriority w:val="99"/>
    <w:semiHidden/>
    <w:unhideWhenUsed/>
    <w:rsid w:val="00D20AD4"/>
    <w:rPr>
      <w:vertAlign w:val="superscript"/>
    </w:rPr>
  </w:style>
  <w:style w:type="character" w:styleId="Hyperlink">
    <w:name w:val="Hyperlink"/>
    <w:basedOn w:val="DefaultParagraphFont"/>
    <w:uiPriority w:val="99"/>
    <w:unhideWhenUsed/>
    <w:rsid w:val="00646EDF"/>
    <w:rPr>
      <w:color w:val="4288C8" w:themeColor="hyperlink"/>
      <w:u w:val="single"/>
    </w:rPr>
  </w:style>
  <w:style w:type="character" w:styleId="UnresolvedMention">
    <w:name w:val="Unresolved Mention"/>
    <w:basedOn w:val="DefaultParagraphFont"/>
    <w:uiPriority w:val="99"/>
    <w:semiHidden/>
    <w:unhideWhenUsed/>
    <w:rsid w:val="00646EDF"/>
    <w:rPr>
      <w:color w:val="605E5C"/>
      <w:shd w:val="clear" w:color="auto" w:fill="E1DFDD"/>
    </w:rPr>
  </w:style>
  <w:style w:type="character" w:styleId="FollowedHyperlink">
    <w:name w:val="FollowedHyperlink"/>
    <w:basedOn w:val="DefaultParagraphFont"/>
    <w:uiPriority w:val="99"/>
    <w:semiHidden/>
    <w:unhideWhenUsed/>
    <w:rsid w:val="00646EDF"/>
    <w:rPr>
      <w:color w:val="706F6F" w:themeColor="followedHyperlink"/>
      <w:u w:val="single"/>
    </w:rPr>
  </w:style>
  <w:style w:type="paragraph" w:styleId="Revision">
    <w:name w:val="Revision"/>
    <w:hidden/>
    <w:uiPriority w:val="99"/>
    <w:semiHidden/>
    <w:rsid w:val="001E2890"/>
    <w:pPr>
      <w:spacing w:after="0" w:line="240" w:lineRule="auto"/>
    </w:pPr>
    <w:rPr>
      <w:rFonts w:ascii="Verdana" w:hAnsi="Verdana"/>
      <w:color w:val="2D659A" w:themeColor="text2" w:themeShade="BF"/>
      <w:sz w:val="20"/>
      <w:szCs w:val="24"/>
    </w:rPr>
  </w:style>
  <w:style w:type="character" w:styleId="CommentReference">
    <w:name w:val="annotation reference"/>
    <w:basedOn w:val="DefaultParagraphFont"/>
    <w:uiPriority w:val="99"/>
    <w:semiHidden/>
    <w:unhideWhenUsed/>
    <w:rsid w:val="00A94781"/>
    <w:rPr>
      <w:sz w:val="16"/>
      <w:szCs w:val="16"/>
    </w:rPr>
  </w:style>
  <w:style w:type="paragraph" w:styleId="CommentText">
    <w:name w:val="annotation text"/>
    <w:basedOn w:val="Normal"/>
    <w:link w:val="CommentTextChar"/>
    <w:uiPriority w:val="99"/>
    <w:unhideWhenUsed/>
    <w:rsid w:val="00A94781"/>
    <w:rPr>
      <w:szCs w:val="20"/>
    </w:rPr>
  </w:style>
  <w:style w:type="character" w:customStyle="1" w:styleId="CommentTextChar">
    <w:name w:val="Comment Text Char"/>
    <w:basedOn w:val="DefaultParagraphFont"/>
    <w:link w:val="CommentText"/>
    <w:uiPriority w:val="99"/>
    <w:rsid w:val="00A94781"/>
    <w:rPr>
      <w:rFonts w:ascii="Verdana" w:hAnsi="Verdana"/>
      <w:color w:val="2D659A" w:themeColor="text2" w:themeShade="BF"/>
      <w:sz w:val="20"/>
      <w:szCs w:val="20"/>
    </w:rPr>
  </w:style>
  <w:style w:type="paragraph" w:styleId="CommentSubject">
    <w:name w:val="annotation subject"/>
    <w:basedOn w:val="CommentText"/>
    <w:next w:val="CommentText"/>
    <w:link w:val="CommentSubjectChar"/>
    <w:uiPriority w:val="99"/>
    <w:semiHidden/>
    <w:unhideWhenUsed/>
    <w:rsid w:val="00A94781"/>
    <w:rPr>
      <w:b/>
      <w:bCs/>
    </w:rPr>
  </w:style>
  <w:style w:type="character" w:customStyle="1" w:styleId="CommentSubjectChar">
    <w:name w:val="Comment Subject Char"/>
    <w:basedOn w:val="CommentTextChar"/>
    <w:link w:val="CommentSubject"/>
    <w:uiPriority w:val="99"/>
    <w:semiHidden/>
    <w:rsid w:val="00A94781"/>
    <w:rPr>
      <w:rFonts w:ascii="Verdana" w:hAnsi="Verdana"/>
      <w:b/>
      <w:bCs/>
      <w:color w:val="2D659A" w:themeColor="text2" w:themeShade="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0341224">
      <w:bodyDiv w:val="1"/>
      <w:marLeft w:val="0"/>
      <w:marRight w:val="0"/>
      <w:marTop w:val="0"/>
      <w:marBottom w:val="0"/>
      <w:divBdr>
        <w:top w:val="none" w:sz="0" w:space="0" w:color="auto"/>
        <w:left w:val="none" w:sz="0" w:space="0" w:color="auto"/>
        <w:bottom w:val="none" w:sz="0" w:space="0" w:color="auto"/>
        <w:right w:val="none" w:sz="0" w:space="0" w:color="auto"/>
      </w:divBdr>
    </w:div>
    <w:div w:id="1558010618">
      <w:bodyDiv w:val="1"/>
      <w:marLeft w:val="0"/>
      <w:marRight w:val="0"/>
      <w:marTop w:val="0"/>
      <w:marBottom w:val="0"/>
      <w:divBdr>
        <w:top w:val="none" w:sz="0" w:space="0" w:color="auto"/>
        <w:left w:val="none" w:sz="0" w:space="0" w:color="auto"/>
        <w:bottom w:val="none" w:sz="0" w:space="0" w:color="auto"/>
        <w:right w:val="none" w:sz="0" w:space="0" w:color="auto"/>
      </w:divBdr>
    </w:div>
    <w:div w:id="1886066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rnemann\OneDrive%20-%20EBF\SSM%20Strategy%20group%20-%20general%20SSM%20engagement\29th%20meeting\Agenda%2029.dotx" TargetMode="External"/></Relationships>
</file>

<file path=word/theme/theme1.xml><?xml version="1.0" encoding="utf-8"?>
<a:theme xmlns:a="http://schemas.openxmlformats.org/drawingml/2006/main" name="Slice">
  <a:themeElements>
    <a:clrScheme name="EBF Light">
      <a:dk1>
        <a:srgbClr val="006E95"/>
      </a:dk1>
      <a:lt1>
        <a:sysClr val="window" lastClr="FFFFFF"/>
      </a:lt1>
      <a:dk2>
        <a:srgbClr val="4288C8"/>
      </a:dk2>
      <a:lt2>
        <a:srgbClr val="B2B2B2"/>
      </a:lt2>
      <a:accent1>
        <a:srgbClr val="EE751E"/>
      </a:accent1>
      <a:accent2>
        <a:srgbClr val="E4291E"/>
      </a:accent2>
      <a:accent3>
        <a:srgbClr val="706F6F"/>
      </a:accent3>
      <a:accent4>
        <a:srgbClr val="4288C8"/>
      </a:accent4>
      <a:accent5>
        <a:srgbClr val="3F4B79"/>
      </a:accent5>
      <a:accent6>
        <a:srgbClr val="6DBE93"/>
      </a:accent6>
      <a:hlink>
        <a:srgbClr val="4288C8"/>
      </a:hlink>
      <a:folHlink>
        <a:srgbClr val="706F6F"/>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15BE356F377CE45952ED52166F81890" ma:contentTypeVersion="6" ma:contentTypeDescription="Create a new document." ma:contentTypeScope="" ma:versionID="3cd127619c2f07132994555af810d361">
  <xsd:schema xmlns:xsd="http://www.w3.org/2001/XMLSchema" xmlns:xs="http://www.w3.org/2001/XMLSchema" xmlns:p="http://schemas.microsoft.com/office/2006/metadata/properties" xmlns:ns2="09ce11a9-b5ea-4562-94e2-4d584a6366d9" xmlns:ns3="d474da07-a87d-4732-b702-0581988b0833" targetNamespace="http://schemas.microsoft.com/office/2006/metadata/properties" ma:root="true" ma:fieldsID="bf9b59f58ddc13344404d9dd8801fc74" ns2:_="" ns3:_="">
    <xsd:import namespace="09ce11a9-b5ea-4562-94e2-4d584a6366d9"/>
    <xsd:import namespace="d474da07-a87d-4732-b702-0581988b083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ce11a9-b5ea-4562-94e2-4d584a6366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74da07-a87d-4732-b702-0581988b083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B24001-BB69-41F7-8BE3-9429E04C1BFD}">
  <ds:schemaRefs>
    <ds:schemaRef ds:uri="http://schemas.openxmlformats.org/officeDocument/2006/bibliography"/>
  </ds:schemaRefs>
</ds:datastoreItem>
</file>

<file path=customXml/itemProps2.xml><?xml version="1.0" encoding="utf-8"?>
<ds:datastoreItem xmlns:ds="http://schemas.openxmlformats.org/officeDocument/2006/customXml" ds:itemID="{26309909-4E60-46D7-B0BF-49FCE0A7883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7A096C3-6CEA-45C1-9F20-E085806AAD6C}">
  <ds:schemaRefs>
    <ds:schemaRef ds:uri="http://schemas.microsoft.com/sharepoint/v3/contenttype/forms"/>
  </ds:schemaRefs>
</ds:datastoreItem>
</file>

<file path=customXml/itemProps4.xml><?xml version="1.0" encoding="utf-8"?>
<ds:datastoreItem xmlns:ds="http://schemas.openxmlformats.org/officeDocument/2006/customXml" ds:itemID="{F601ACCB-0956-4DAC-BAF4-E52CA9A7A7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ce11a9-b5ea-4562-94e2-4d584a6366d9"/>
    <ds:schemaRef ds:uri="d474da07-a87d-4732-b702-0581988b08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Agenda 29</Template>
  <TotalTime>0</TotalTime>
  <Pages>21</Pages>
  <Words>8680</Words>
  <Characters>49481</Characters>
  <Application>Microsoft Office Word</Application>
  <DocSecurity>0</DocSecurity>
  <Lines>412</Lines>
  <Paragraphs>116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58045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Lukas Bornemann</dc:creator>
  <cp:keywords/>
  <dc:description/>
  <cp:lastModifiedBy>Vassileia Tsirigkaki</cp:lastModifiedBy>
  <cp:revision>2</cp:revision>
  <dcterms:created xsi:type="dcterms:W3CDTF">2024-04-16T08:18:00Z</dcterms:created>
  <dcterms:modified xsi:type="dcterms:W3CDTF">2024-04-16T08:18:00Z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0x010100D15BE356F377CE45952ED52166F81890</vt:lpwstr>
  </property>
  <property fmtid="{D5CDD505-2E9C-101B-9397-08002B2CF9AE}" pid="3" name="MSIP_Label_a401b303-ecb1-4a9d-936a-70858c2d9a3e_Enabled">
    <vt:lpwstr>true</vt:lpwstr>
  </property>
  <property fmtid="{D5CDD505-2E9C-101B-9397-08002B2CF9AE}" pid="4" name="MSIP_Label_a401b303-ecb1-4a9d-936a-70858c2d9a3e_SetDate">
    <vt:lpwstr>2023-04-04T20:17:58Z</vt:lpwstr>
  </property>
  <property fmtid="{D5CDD505-2E9C-101B-9397-08002B2CF9AE}" pid="5" name="MSIP_Label_a401b303-ecb1-4a9d-936a-70858c2d9a3e_Method">
    <vt:lpwstr>Privileged</vt:lpwstr>
  </property>
  <property fmtid="{D5CDD505-2E9C-101B-9397-08002B2CF9AE}" pid="6" name="MSIP_Label_a401b303-ecb1-4a9d-936a-70858c2d9a3e_Name">
    <vt:lpwstr>a401b303-ecb1-4a9d-936a-70858c2d9a3e</vt:lpwstr>
  </property>
  <property fmtid="{D5CDD505-2E9C-101B-9397-08002B2CF9AE}" pid="7" name="MSIP_Label_a401b303-ecb1-4a9d-936a-70858c2d9a3e_SiteId">
    <vt:lpwstr>c9a7d621-4bc4-4407-b730-f428e656aa9e</vt:lpwstr>
  </property>
  <property fmtid="{D5CDD505-2E9C-101B-9397-08002B2CF9AE}" pid="8" name="MSIP_Label_a401b303-ecb1-4a9d-936a-70858c2d9a3e_ActionId">
    <vt:lpwstr>ec69c52c-a9bb-41c2-bed0-2ae71241958e</vt:lpwstr>
  </property>
  <property fmtid="{D5CDD505-2E9C-101B-9397-08002B2CF9AE}" pid="9" name="MSIP_Label_a401b303-ecb1-4a9d-936a-70858c2d9a3e_ContentBits">
    <vt:lpwstr>0</vt:lpwstr>
  </property>
</Properties>
</file>