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46D25" w14:textId="77777777" w:rsidR="00362783" w:rsidRPr="001F791F" w:rsidRDefault="00362783" w:rsidP="00661089">
      <w:pPr>
        <w:spacing w:after="0" w:line="240" w:lineRule="auto"/>
        <w:jc w:val="both"/>
        <w:rPr>
          <w:rFonts w:asciiTheme="majorBidi" w:hAnsiTheme="majorBidi" w:cstheme="majorBidi"/>
          <w:sz w:val="22"/>
          <w:szCs w:val="22"/>
        </w:rPr>
      </w:pPr>
    </w:p>
    <w:p w14:paraId="35D34544" w14:textId="77777777" w:rsidR="00362783" w:rsidRDefault="00362783" w:rsidP="00661089">
      <w:pPr>
        <w:spacing w:after="0" w:line="240" w:lineRule="auto"/>
        <w:jc w:val="both"/>
        <w:rPr>
          <w:rFonts w:asciiTheme="majorBidi" w:hAnsiTheme="majorBidi" w:cstheme="majorBidi"/>
          <w:sz w:val="22"/>
          <w:szCs w:val="22"/>
        </w:rPr>
      </w:pPr>
    </w:p>
    <w:p w14:paraId="780F2DE9" w14:textId="77777777" w:rsidR="00136D7A" w:rsidRPr="00136D7A" w:rsidRDefault="00136D7A" w:rsidP="00136D7A">
      <w:pPr>
        <w:spacing w:after="0" w:line="240" w:lineRule="auto"/>
        <w:jc w:val="both"/>
        <w:rPr>
          <w:rFonts w:asciiTheme="majorBidi" w:eastAsia="Times New Roman" w:hAnsiTheme="majorBidi" w:cstheme="majorBidi"/>
          <w:kern w:val="0"/>
          <w:sz w:val="22"/>
          <w:szCs w:val="22"/>
          <w:lang w:val="en-US"/>
          <w14:ligatures w14:val="none"/>
        </w:rPr>
      </w:pPr>
      <w:r w:rsidRPr="00136D7A">
        <w:rPr>
          <w:rFonts w:asciiTheme="majorBidi" w:eastAsia="Times New Roman" w:hAnsiTheme="majorBidi" w:cstheme="majorBidi"/>
          <w:kern w:val="0"/>
          <w:sz w:val="22"/>
          <w:szCs w:val="22"/>
          <w:lang w:val="en-US"/>
          <w14:ligatures w14:val="none"/>
        </w:rPr>
        <w:t xml:space="preserve">The </w:t>
      </w:r>
      <w:r w:rsidRPr="00136D7A">
        <w:rPr>
          <w:rFonts w:asciiTheme="majorBidi" w:eastAsia="Times New Roman" w:hAnsiTheme="majorBidi" w:cstheme="majorBidi"/>
          <w:b/>
          <w:kern w:val="0"/>
          <w:sz w:val="22"/>
          <w:szCs w:val="22"/>
          <w:lang w:val="en-US"/>
          <w14:ligatures w14:val="none"/>
        </w:rPr>
        <w:t>EU Federation for the Factoring and Commercial Finance Industry (EUF)</w:t>
      </w:r>
      <w:r w:rsidRPr="00136D7A">
        <w:rPr>
          <w:rFonts w:asciiTheme="majorBidi" w:eastAsia="Times New Roman" w:hAnsiTheme="majorBidi" w:cstheme="majorBidi"/>
          <w:kern w:val="0"/>
          <w:sz w:val="22"/>
          <w:szCs w:val="22"/>
          <w:lang w:val="en-US"/>
          <w14:ligatures w14:val="none"/>
        </w:rPr>
        <w:t xml:space="preserve"> is the industry body and voice for the European factoring industry (EU transparency register no. 39275004756-35). The EUF’s members and partners consist of 13 national factoring and commercial finance associations (representing in the EU [in alphabetic order] Austria, Belgium, Croatia, the Czech Republic, Denmark, France, Germany, Greece, Italy, the Netherlands, Poland, Portugal and Spain) as well as the international factoring association FCI and the UK and Norway as partners.</w:t>
      </w:r>
    </w:p>
    <w:p w14:paraId="79614CFC" w14:textId="77777777" w:rsidR="00136D7A" w:rsidRPr="00136D7A" w:rsidRDefault="00136D7A" w:rsidP="00136D7A">
      <w:pPr>
        <w:spacing w:after="0" w:line="240" w:lineRule="auto"/>
        <w:jc w:val="both"/>
        <w:rPr>
          <w:rFonts w:asciiTheme="majorBidi" w:eastAsia="Times New Roman" w:hAnsiTheme="majorBidi" w:cstheme="majorBidi"/>
          <w:kern w:val="0"/>
          <w:sz w:val="22"/>
          <w:szCs w:val="22"/>
          <w:lang w:val="en-US"/>
          <w14:ligatures w14:val="none"/>
        </w:rPr>
      </w:pPr>
    </w:p>
    <w:p w14:paraId="66BCDBF4" w14:textId="1473559F" w:rsidR="00136D7A" w:rsidRPr="00136D7A" w:rsidRDefault="00136D7A" w:rsidP="00136D7A">
      <w:pPr>
        <w:spacing w:after="0" w:line="240" w:lineRule="auto"/>
        <w:jc w:val="both"/>
        <w:rPr>
          <w:rFonts w:asciiTheme="majorBidi" w:hAnsiTheme="majorBidi" w:cstheme="majorBidi"/>
          <w:sz w:val="22"/>
          <w:szCs w:val="22"/>
          <w:lang w:val="en-GB"/>
        </w:rPr>
      </w:pPr>
      <w:r w:rsidRPr="00136D7A">
        <w:rPr>
          <w:rFonts w:asciiTheme="majorBidi" w:eastAsia="Times New Roman" w:hAnsiTheme="majorBidi" w:cstheme="majorBidi"/>
          <w:kern w:val="0"/>
          <w:sz w:val="22"/>
          <w:szCs w:val="22"/>
          <w:lang w:val="en-US"/>
          <w14:ligatures w14:val="none"/>
        </w:rPr>
        <w:t xml:space="preserve">It is in its role as the representative body of the European factoring and commercial finance industry that the </w:t>
      </w:r>
      <w:r w:rsidRPr="00136D7A">
        <w:rPr>
          <w:rFonts w:asciiTheme="majorBidi" w:eastAsia="Times New Roman" w:hAnsiTheme="majorBidi" w:cstheme="majorBidi"/>
          <w:b/>
          <w:kern w:val="0"/>
          <w:sz w:val="22"/>
          <w:szCs w:val="22"/>
          <w:lang w:val="en-US"/>
          <w14:ligatures w14:val="none"/>
        </w:rPr>
        <w:t>EUF wishes to provide input on the</w:t>
      </w:r>
      <w:r w:rsidR="006F0262">
        <w:rPr>
          <w:rFonts w:asciiTheme="majorBidi" w:eastAsia="Times New Roman" w:hAnsiTheme="majorBidi" w:cstheme="majorBidi"/>
          <w:b/>
          <w:kern w:val="0"/>
          <w:sz w:val="22"/>
          <w:szCs w:val="22"/>
          <w:lang w:val="en-US"/>
          <w14:ligatures w14:val="none"/>
        </w:rPr>
        <w:t xml:space="preserve"> </w:t>
      </w:r>
      <w:r w:rsidR="00D01117">
        <w:rPr>
          <w:rFonts w:asciiTheme="majorBidi" w:eastAsia="Times New Roman" w:hAnsiTheme="majorBidi" w:cstheme="majorBidi"/>
          <w:b/>
          <w:kern w:val="0"/>
          <w:sz w:val="22"/>
          <w:szCs w:val="22"/>
          <w:lang w:val="en-US"/>
          <w14:ligatures w14:val="none"/>
        </w:rPr>
        <w:t xml:space="preserve">EBA </w:t>
      </w:r>
      <w:r w:rsidR="006F0262" w:rsidRPr="006F0262">
        <w:rPr>
          <w:rFonts w:asciiTheme="majorBidi" w:eastAsia="Times New Roman" w:hAnsiTheme="majorBidi" w:cstheme="majorBidi"/>
          <w:b/>
          <w:kern w:val="0"/>
          <w:sz w:val="22"/>
          <w:szCs w:val="22"/>
          <w:lang w:val="en-US"/>
          <w14:ligatures w14:val="none"/>
        </w:rPr>
        <w:t>Consultation on draft Guidelines on the management of ESG risks</w:t>
      </w:r>
    </w:p>
    <w:p w14:paraId="5349415E" w14:textId="77777777" w:rsidR="00136D7A" w:rsidRPr="00136D7A" w:rsidRDefault="00136D7A" w:rsidP="00661089">
      <w:pPr>
        <w:spacing w:after="0" w:line="240" w:lineRule="auto"/>
        <w:jc w:val="both"/>
        <w:rPr>
          <w:rFonts w:asciiTheme="majorBidi" w:hAnsiTheme="majorBidi" w:cstheme="majorBidi"/>
          <w:sz w:val="22"/>
          <w:szCs w:val="22"/>
          <w:lang w:val="en-GB"/>
        </w:rPr>
      </w:pPr>
    </w:p>
    <w:p w14:paraId="127B9B74" w14:textId="77777777" w:rsidR="00362783" w:rsidRPr="00136D7A" w:rsidRDefault="00362783" w:rsidP="00661089">
      <w:pPr>
        <w:spacing w:after="0" w:line="240" w:lineRule="auto"/>
        <w:jc w:val="both"/>
        <w:rPr>
          <w:rFonts w:asciiTheme="majorBidi" w:hAnsiTheme="majorBidi" w:cstheme="majorBidi"/>
          <w:sz w:val="22"/>
          <w:szCs w:val="22"/>
          <w:lang w:val="en-GB"/>
        </w:rPr>
      </w:pPr>
    </w:p>
    <w:p w14:paraId="519CA333" w14:textId="4B569AB5" w:rsidR="00362783" w:rsidRPr="001F791F" w:rsidRDefault="00362783" w:rsidP="00136D7A">
      <w:pPr>
        <w:pStyle w:val="Default"/>
        <w:jc w:val="both"/>
        <w:rPr>
          <w:rFonts w:asciiTheme="majorBidi" w:hAnsiTheme="majorBidi" w:cstheme="majorBidi"/>
          <w:b/>
          <w:bCs/>
          <w:color w:val="auto"/>
          <w:sz w:val="22"/>
          <w:szCs w:val="22"/>
          <w:lang w:val="en-GB"/>
        </w:rPr>
      </w:pPr>
      <w:r w:rsidRPr="001F791F">
        <w:rPr>
          <w:rFonts w:asciiTheme="majorBidi" w:hAnsiTheme="majorBidi" w:cstheme="majorBidi"/>
          <w:b/>
          <w:bCs/>
          <w:color w:val="auto"/>
          <w:sz w:val="22"/>
          <w:szCs w:val="22"/>
          <w:lang w:val="en-GB"/>
        </w:rPr>
        <w:t>Question 1: Do you have comments on the EBA’s understanding of the plans required by Article 76(2) of the CRD, including the definition provided in paragraph 17 and the articulation of these plans with other EU requirements in particular under CSRD and the draft CSDDD?</w:t>
      </w:r>
    </w:p>
    <w:p w14:paraId="012DB0CD" w14:textId="77777777" w:rsidR="00362783" w:rsidRPr="001F791F" w:rsidRDefault="00362783" w:rsidP="00362783">
      <w:pPr>
        <w:pStyle w:val="Default"/>
        <w:jc w:val="both"/>
        <w:rPr>
          <w:rFonts w:asciiTheme="majorBidi" w:hAnsiTheme="majorBidi" w:cstheme="majorBidi"/>
          <w:color w:val="auto"/>
          <w:sz w:val="22"/>
          <w:szCs w:val="22"/>
          <w:lang w:val="en-GB"/>
        </w:rPr>
      </w:pPr>
    </w:p>
    <w:p w14:paraId="61F91E59" w14:textId="54D5EAF7" w:rsidR="00362783" w:rsidRPr="001F791F" w:rsidRDefault="008B2C77" w:rsidP="00AE6227">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Transition plans (</w:t>
      </w:r>
      <w:r w:rsidR="00362783" w:rsidRPr="001F791F">
        <w:rPr>
          <w:rFonts w:asciiTheme="majorBidi" w:hAnsiTheme="majorBidi" w:cstheme="majorBidi"/>
          <w:color w:val="auto"/>
          <w:sz w:val="22"/>
          <w:szCs w:val="22"/>
          <w:lang w:val="en-GB"/>
        </w:rPr>
        <w:t>TPs</w:t>
      </w:r>
      <w:r w:rsidRPr="001F791F">
        <w:rPr>
          <w:rFonts w:asciiTheme="majorBidi" w:hAnsiTheme="majorBidi" w:cstheme="majorBidi"/>
          <w:color w:val="auto"/>
          <w:sz w:val="22"/>
          <w:szCs w:val="22"/>
          <w:lang w:val="en-GB"/>
        </w:rPr>
        <w:t>)</w:t>
      </w:r>
      <w:r w:rsidR="00362783" w:rsidRPr="001F791F">
        <w:rPr>
          <w:rFonts w:asciiTheme="majorBidi" w:hAnsiTheme="majorBidi" w:cstheme="majorBidi"/>
          <w:color w:val="auto"/>
          <w:sz w:val="22"/>
          <w:szCs w:val="22"/>
          <w:lang w:val="en-GB"/>
        </w:rPr>
        <w:t xml:space="preserve"> seem a good tool to prepare an adequate and proportionate prudential assessment of ESG risks.</w:t>
      </w:r>
    </w:p>
    <w:p w14:paraId="2D0E2588" w14:textId="77777777" w:rsidR="00362783" w:rsidRPr="001F791F" w:rsidRDefault="00362783" w:rsidP="00362783">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A gradual approach based on an ever growing understanding of ESG features should be privileged.</w:t>
      </w:r>
    </w:p>
    <w:p w14:paraId="5ECC9845" w14:textId="77777777" w:rsidR="00E56DA6" w:rsidRPr="001F791F" w:rsidRDefault="00E56DA6" w:rsidP="00661089">
      <w:pPr>
        <w:spacing w:after="0" w:line="240" w:lineRule="auto"/>
        <w:jc w:val="both"/>
        <w:rPr>
          <w:rFonts w:asciiTheme="majorBidi" w:hAnsiTheme="majorBidi" w:cstheme="majorBidi"/>
          <w:sz w:val="22"/>
          <w:szCs w:val="22"/>
          <w:lang w:val="en-GB"/>
        </w:rPr>
      </w:pPr>
    </w:p>
    <w:p w14:paraId="33B4A816" w14:textId="77777777" w:rsidR="00E56DA6" w:rsidRPr="001F791F" w:rsidRDefault="00E56DA6" w:rsidP="00661089">
      <w:pPr>
        <w:pStyle w:val="Default"/>
        <w:jc w:val="both"/>
        <w:rPr>
          <w:rFonts w:asciiTheme="majorBidi" w:hAnsiTheme="majorBidi" w:cstheme="majorBidi"/>
          <w:color w:val="auto"/>
          <w:sz w:val="22"/>
          <w:szCs w:val="22"/>
          <w:lang w:val="en-GB"/>
        </w:rPr>
      </w:pPr>
    </w:p>
    <w:p w14:paraId="34A11196" w14:textId="77777777" w:rsidR="00E56DA6" w:rsidRPr="001F791F" w:rsidRDefault="00E56DA6" w:rsidP="00661089">
      <w:pPr>
        <w:pStyle w:val="Default"/>
        <w:jc w:val="both"/>
        <w:rPr>
          <w:rFonts w:asciiTheme="majorBidi" w:hAnsiTheme="majorBidi" w:cstheme="majorBidi"/>
          <w:b/>
          <w:bCs/>
          <w:color w:val="auto"/>
          <w:sz w:val="22"/>
          <w:szCs w:val="22"/>
          <w:lang w:val="en-GB"/>
        </w:rPr>
      </w:pPr>
      <w:r w:rsidRPr="001F791F">
        <w:rPr>
          <w:rFonts w:asciiTheme="majorBidi" w:hAnsiTheme="majorBidi" w:cstheme="majorBidi"/>
          <w:b/>
          <w:bCs/>
          <w:color w:val="auto"/>
          <w:sz w:val="22"/>
          <w:szCs w:val="22"/>
          <w:lang w:val="en-GB"/>
        </w:rPr>
        <w:t>Question 2: Do you have comments on the proportionality approach taken by the EBA for these guidelines?</w:t>
      </w:r>
    </w:p>
    <w:p w14:paraId="6C8F1B80" w14:textId="77777777" w:rsidR="00362783" w:rsidRPr="001F791F" w:rsidRDefault="00362783" w:rsidP="00661089">
      <w:pPr>
        <w:pStyle w:val="Default"/>
        <w:jc w:val="both"/>
        <w:rPr>
          <w:rFonts w:asciiTheme="majorBidi" w:hAnsiTheme="majorBidi" w:cstheme="majorBidi"/>
          <w:color w:val="auto"/>
          <w:sz w:val="22"/>
          <w:szCs w:val="22"/>
          <w:lang w:val="en-GB"/>
        </w:rPr>
      </w:pPr>
    </w:p>
    <w:p w14:paraId="304E6C52" w14:textId="402D3F9E" w:rsidR="00E56DA6" w:rsidRPr="001F791F" w:rsidRDefault="00F773D2"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EUF supports the introduction of a proportionality principle</w:t>
      </w:r>
      <w:r w:rsidR="00761E97" w:rsidRPr="001F791F">
        <w:rPr>
          <w:rFonts w:asciiTheme="majorBidi" w:hAnsiTheme="majorBidi" w:cstheme="majorBidi"/>
          <w:color w:val="auto"/>
          <w:sz w:val="22"/>
          <w:szCs w:val="22"/>
          <w:lang w:val="en-GB"/>
        </w:rPr>
        <w:t>, notably for the periodicity of review of ESG risks</w:t>
      </w:r>
      <w:r w:rsidR="003C1549" w:rsidRPr="001F791F">
        <w:rPr>
          <w:rFonts w:asciiTheme="majorBidi" w:hAnsiTheme="majorBidi" w:cstheme="majorBidi"/>
          <w:color w:val="auto"/>
          <w:sz w:val="22"/>
          <w:szCs w:val="22"/>
          <w:lang w:val="en-GB"/>
        </w:rPr>
        <w:t xml:space="preserve"> (</w:t>
      </w:r>
      <w:r w:rsidR="00D66ED2">
        <w:rPr>
          <w:rFonts w:asciiTheme="majorBidi" w:hAnsiTheme="majorBidi" w:cstheme="majorBidi"/>
          <w:color w:val="auto"/>
          <w:sz w:val="22"/>
          <w:szCs w:val="22"/>
          <w:lang w:val="en-GB"/>
        </w:rPr>
        <w:t xml:space="preserve">at most </w:t>
      </w:r>
      <w:r w:rsidR="003C1549" w:rsidRPr="001F791F">
        <w:rPr>
          <w:rFonts w:asciiTheme="majorBidi" w:hAnsiTheme="majorBidi" w:cstheme="majorBidi"/>
          <w:color w:val="auto"/>
          <w:sz w:val="22"/>
          <w:szCs w:val="22"/>
          <w:lang w:val="en-GB"/>
        </w:rPr>
        <w:t xml:space="preserve">every 2 years for small and </w:t>
      </w:r>
      <w:proofErr w:type="spellStart"/>
      <w:r w:rsidR="003C1549" w:rsidRPr="001F791F">
        <w:rPr>
          <w:rFonts w:asciiTheme="majorBidi" w:hAnsiTheme="majorBidi" w:cstheme="majorBidi"/>
          <w:color w:val="auto"/>
          <w:sz w:val="22"/>
          <w:szCs w:val="22"/>
          <w:lang w:val="en-GB"/>
        </w:rPr>
        <w:t>non complex</w:t>
      </w:r>
      <w:proofErr w:type="spellEnd"/>
      <w:r w:rsidR="003C1549" w:rsidRPr="001F791F">
        <w:rPr>
          <w:rFonts w:asciiTheme="majorBidi" w:hAnsiTheme="majorBidi" w:cstheme="majorBidi"/>
          <w:color w:val="auto"/>
          <w:sz w:val="22"/>
          <w:szCs w:val="22"/>
          <w:lang w:val="en-GB"/>
        </w:rPr>
        <w:t xml:space="preserve">  institutions</w:t>
      </w:r>
      <w:r w:rsidR="007760BA" w:rsidRPr="001F791F">
        <w:rPr>
          <w:rFonts w:asciiTheme="majorBidi" w:hAnsiTheme="majorBidi" w:cstheme="majorBidi"/>
          <w:color w:val="auto"/>
          <w:sz w:val="22"/>
          <w:szCs w:val="22"/>
          <w:lang w:val="en-GB"/>
        </w:rPr>
        <w:t xml:space="preserve"> – SNCIs)</w:t>
      </w:r>
      <w:r w:rsidR="00D66ED2">
        <w:rPr>
          <w:rFonts w:asciiTheme="majorBidi" w:hAnsiTheme="majorBidi" w:cstheme="majorBidi"/>
          <w:color w:val="auto"/>
          <w:sz w:val="22"/>
          <w:szCs w:val="22"/>
          <w:lang w:val="en-GB"/>
        </w:rPr>
        <w:t>. Similarly, the proportionality approach should also encompass specificities of different forms of financing.</w:t>
      </w:r>
    </w:p>
    <w:p w14:paraId="489BD965" w14:textId="16F080EB" w:rsidR="00D96F3E" w:rsidRPr="001F791F" w:rsidRDefault="00D96F3E" w:rsidP="00661089">
      <w:pPr>
        <w:pStyle w:val="Default"/>
        <w:jc w:val="both"/>
        <w:rPr>
          <w:rFonts w:asciiTheme="majorBidi" w:hAnsiTheme="majorBidi" w:cstheme="majorBidi"/>
          <w:color w:val="auto"/>
          <w:sz w:val="22"/>
          <w:szCs w:val="22"/>
          <w:lang w:val="en-GB"/>
        </w:rPr>
      </w:pPr>
    </w:p>
    <w:p w14:paraId="11694779" w14:textId="77777777" w:rsidR="00E56DA6" w:rsidRPr="001F791F" w:rsidRDefault="00E56DA6" w:rsidP="00661089">
      <w:pPr>
        <w:pStyle w:val="Default"/>
        <w:jc w:val="both"/>
        <w:rPr>
          <w:rFonts w:asciiTheme="majorBidi" w:hAnsiTheme="majorBidi" w:cstheme="majorBidi"/>
          <w:color w:val="auto"/>
          <w:sz w:val="22"/>
          <w:szCs w:val="22"/>
          <w:lang w:val="en-GB"/>
        </w:rPr>
      </w:pPr>
    </w:p>
    <w:p w14:paraId="46AE5CEB" w14:textId="222C66CF" w:rsidR="00E56DA6" w:rsidRPr="001F791F" w:rsidRDefault="00E56DA6" w:rsidP="00661089">
      <w:pPr>
        <w:spacing w:after="0" w:line="240" w:lineRule="auto"/>
        <w:jc w:val="both"/>
        <w:rPr>
          <w:rFonts w:asciiTheme="majorBidi" w:hAnsiTheme="majorBidi" w:cstheme="majorBidi"/>
          <w:b/>
          <w:bCs/>
          <w:sz w:val="22"/>
          <w:szCs w:val="22"/>
          <w:lang w:val="en-GB"/>
        </w:rPr>
      </w:pPr>
      <w:r w:rsidRPr="001F791F">
        <w:rPr>
          <w:rFonts w:asciiTheme="majorBidi" w:hAnsiTheme="majorBidi" w:cstheme="majorBidi"/>
          <w:b/>
          <w:bCs/>
          <w:sz w:val="22"/>
          <w:szCs w:val="22"/>
          <w:lang w:val="en-GB"/>
        </w:rPr>
        <w:t>Question 3: Do you have comments on the approach taken by the EBA regarding the consideration of, respectively, climate, environmental, and social and governance risks? Based on your experience, do you see a need for further guidance on how to handle interactions between various types of risks (e.g. climate versus biodiversity, or E versus S and/or G) from a risk management perspective? If yes, please elaborate and provide suggestions.</w:t>
      </w:r>
    </w:p>
    <w:p w14:paraId="65B802DE" w14:textId="77777777" w:rsidR="00E56DA6" w:rsidRDefault="00E56DA6" w:rsidP="00661089">
      <w:pPr>
        <w:spacing w:after="0" w:line="240" w:lineRule="auto"/>
        <w:jc w:val="both"/>
        <w:rPr>
          <w:rFonts w:asciiTheme="majorBidi" w:hAnsiTheme="majorBidi" w:cstheme="majorBidi"/>
          <w:sz w:val="22"/>
          <w:szCs w:val="22"/>
          <w:lang w:val="en-GB"/>
        </w:rPr>
      </w:pPr>
    </w:p>
    <w:p w14:paraId="2C28171C" w14:textId="72CDDCD1" w:rsidR="006A414A" w:rsidRDefault="003A4CA1" w:rsidP="00661089">
      <w:pPr>
        <w:spacing w:after="0" w:line="240" w:lineRule="auto"/>
        <w:jc w:val="both"/>
        <w:rPr>
          <w:rFonts w:asciiTheme="majorBidi" w:hAnsiTheme="majorBidi" w:cstheme="majorBidi"/>
          <w:sz w:val="22"/>
          <w:szCs w:val="22"/>
          <w:lang w:val="en-GB"/>
        </w:rPr>
      </w:pPr>
      <w:r>
        <w:rPr>
          <w:rFonts w:asciiTheme="majorBidi" w:hAnsiTheme="majorBidi" w:cstheme="majorBidi"/>
          <w:sz w:val="22"/>
          <w:szCs w:val="22"/>
          <w:lang w:val="en-GB"/>
        </w:rPr>
        <w:t xml:space="preserve">It is true that currently stronger focus is made on the “E” of ESG than on </w:t>
      </w:r>
      <w:r w:rsidR="00DB66BE">
        <w:rPr>
          <w:rFonts w:asciiTheme="majorBidi" w:hAnsiTheme="majorBidi" w:cstheme="majorBidi"/>
          <w:sz w:val="22"/>
          <w:szCs w:val="22"/>
          <w:lang w:val="en-GB"/>
        </w:rPr>
        <w:t>the “S” and “G”.</w:t>
      </w:r>
    </w:p>
    <w:p w14:paraId="51962776" w14:textId="77777777" w:rsidR="00DB66BE" w:rsidRPr="001F791F" w:rsidRDefault="00DB66BE" w:rsidP="00661089">
      <w:pPr>
        <w:spacing w:after="0" w:line="240" w:lineRule="auto"/>
        <w:jc w:val="both"/>
        <w:rPr>
          <w:rFonts w:asciiTheme="majorBidi" w:hAnsiTheme="majorBidi" w:cstheme="majorBidi"/>
          <w:sz w:val="22"/>
          <w:szCs w:val="22"/>
          <w:lang w:val="en-GB"/>
        </w:rPr>
      </w:pPr>
    </w:p>
    <w:p w14:paraId="0A3F0E74" w14:textId="1B9B17DF" w:rsidR="00E56DA6" w:rsidRPr="001F791F" w:rsidRDefault="00C66B2D" w:rsidP="00CF696F">
      <w:pPr>
        <w:spacing w:after="0" w:line="240" w:lineRule="auto"/>
        <w:jc w:val="both"/>
        <w:rPr>
          <w:rFonts w:asciiTheme="majorBidi" w:hAnsiTheme="majorBidi" w:cstheme="majorBidi"/>
          <w:sz w:val="22"/>
          <w:szCs w:val="22"/>
          <w:lang w:val="en-GB"/>
        </w:rPr>
      </w:pPr>
      <w:r>
        <w:rPr>
          <w:rFonts w:asciiTheme="majorBidi" w:hAnsiTheme="majorBidi" w:cstheme="majorBidi"/>
          <w:sz w:val="22"/>
          <w:szCs w:val="22"/>
          <w:lang w:val="en-GB"/>
        </w:rPr>
        <w:t>It is to be noted that a</w:t>
      </w:r>
      <w:r w:rsidR="00D96F3E" w:rsidRPr="001F791F">
        <w:rPr>
          <w:rFonts w:asciiTheme="majorBidi" w:hAnsiTheme="majorBidi" w:cstheme="majorBidi"/>
          <w:sz w:val="22"/>
          <w:szCs w:val="22"/>
          <w:lang w:val="en-GB"/>
        </w:rPr>
        <w:t xml:space="preserve"> measure can be </w:t>
      </w:r>
      <w:r w:rsidR="00AB5FC0" w:rsidRPr="001F791F">
        <w:rPr>
          <w:rFonts w:asciiTheme="majorBidi" w:hAnsiTheme="majorBidi" w:cstheme="majorBidi"/>
          <w:sz w:val="22"/>
          <w:szCs w:val="22"/>
          <w:lang w:val="en-GB"/>
        </w:rPr>
        <w:t xml:space="preserve">in </w:t>
      </w:r>
      <w:proofErr w:type="spellStart"/>
      <w:r w:rsidR="00AB5FC0" w:rsidRPr="001F791F">
        <w:rPr>
          <w:rFonts w:asciiTheme="majorBidi" w:hAnsiTheme="majorBidi" w:cstheme="majorBidi"/>
          <w:sz w:val="22"/>
          <w:szCs w:val="22"/>
          <w:lang w:val="en-GB"/>
        </w:rPr>
        <w:t>favor</w:t>
      </w:r>
      <w:proofErr w:type="spellEnd"/>
      <w:r w:rsidR="00AB5FC0" w:rsidRPr="001F791F">
        <w:rPr>
          <w:rFonts w:asciiTheme="majorBidi" w:hAnsiTheme="majorBidi" w:cstheme="majorBidi"/>
          <w:sz w:val="22"/>
          <w:szCs w:val="22"/>
          <w:lang w:val="en-GB"/>
        </w:rPr>
        <w:t xml:space="preserve"> of the environment while entailing some kind of prejudice for the society/economy</w:t>
      </w:r>
      <w:r w:rsidR="00D96F3E" w:rsidRPr="001F791F">
        <w:rPr>
          <w:rFonts w:asciiTheme="majorBidi" w:hAnsiTheme="majorBidi" w:cstheme="majorBidi"/>
          <w:sz w:val="22"/>
          <w:szCs w:val="22"/>
          <w:lang w:val="en-GB"/>
        </w:rPr>
        <w:t xml:space="preserve"> and consequently </w:t>
      </w:r>
      <w:r w:rsidR="00DE059E">
        <w:rPr>
          <w:rFonts w:asciiTheme="majorBidi" w:hAnsiTheme="majorBidi" w:cstheme="majorBidi"/>
          <w:sz w:val="22"/>
          <w:szCs w:val="22"/>
          <w:lang w:val="en-GB"/>
        </w:rPr>
        <w:t>to</w:t>
      </w:r>
      <w:r w:rsidR="00D96F3E" w:rsidRPr="001F791F">
        <w:rPr>
          <w:rFonts w:asciiTheme="majorBidi" w:hAnsiTheme="majorBidi" w:cstheme="majorBidi"/>
          <w:sz w:val="22"/>
          <w:szCs w:val="22"/>
          <w:lang w:val="en-GB"/>
        </w:rPr>
        <w:t xml:space="preserve"> the “S” component of ESG</w:t>
      </w:r>
      <w:r>
        <w:rPr>
          <w:rFonts w:asciiTheme="majorBidi" w:hAnsiTheme="majorBidi" w:cstheme="majorBidi"/>
          <w:sz w:val="22"/>
          <w:szCs w:val="22"/>
          <w:lang w:val="en-GB"/>
        </w:rPr>
        <w:t xml:space="preserve">. </w:t>
      </w:r>
    </w:p>
    <w:p w14:paraId="43F867C2" w14:textId="77777777" w:rsidR="00E56DA6" w:rsidRPr="001F791F" w:rsidRDefault="00E56DA6" w:rsidP="00661089">
      <w:pPr>
        <w:pStyle w:val="Default"/>
        <w:jc w:val="both"/>
        <w:rPr>
          <w:rFonts w:asciiTheme="majorBidi" w:hAnsiTheme="majorBidi" w:cstheme="majorBidi"/>
          <w:color w:val="auto"/>
          <w:sz w:val="22"/>
          <w:szCs w:val="22"/>
          <w:lang w:val="en-GB"/>
        </w:rPr>
      </w:pPr>
    </w:p>
    <w:p w14:paraId="40A8B41E" w14:textId="77777777" w:rsidR="00AB5FC0" w:rsidRPr="001F791F" w:rsidRDefault="00AB5FC0" w:rsidP="00661089">
      <w:pPr>
        <w:pStyle w:val="Default"/>
        <w:jc w:val="both"/>
        <w:rPr>
          <w:rFonts w:asciiTheme="majorBidi" w:hAnsiTheme="majorBidi" w:cstheme="majorBidi"/>
          <w:color w:val="auto"/>
          <w:sz w:val="22"/>
          <w:szCs w:val="22"/>
          <w:lang w:val="en-GB"/>
        </w:rPr>
      </w:pPr>
    </w:p>
    <w:p w14:paraId="2BB14A34"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 4: Do you have comments on the materiality assessment to be performed by institutions?</w:t>
      </w:r>
    </w:p>
    <w:p w14:paraId="7F88D640" w14:textId="77777777" w:rsidR="00E56DA6" w:rsidRPr="001F791F" w:rsidRDefault="00E56DA6" w:rsidP="00661089">
      <w:pPr>
        <w:pStyle w:val="Default"/>
        <w:jc w:val="both"/>
        <w:rPr>
          <w:rFonts w:asciiTheme="majorBidi" w:hAnsiTheme="majorBidi" w:cstheme="majorBidi"/>
          <w:color w:val="auto"/>
          <w:sz w:val="22"/>
          <w:szCs w:val="22"/>
          <w:lang w:val="en-GB"/>
        </w:rPr>
      </w:pPr>
    </w:p>
    <w:p w14:paraId="207885E3" w14:textId="77777777" w:rsidR="00E56DA6" w:rsidRPr="001F791F" w:rsidRDefault="00E56DA6" w:rsidP="00661089">
      <w:pPr>
        <w:pStyle w:val="Default"/>
        <w:jc w:val="both"/>
        <w:rPr>
          <w:rFonts w:asciiTheme="majorBidi" w:hAnsiTheme="majorBidi" w:cstheme="majorBidi"/>
          <w:color w:val="auto"/>
          <w:sz w:val="22"/>
          <w:szCs w:val="22"/>
          <w:lang w:val="en-GB"/>
        </w:rPr>
      </w:pPr>
    </w:p>
    <w:p w14:paraId="4B7886BB"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 xml:space="preserve">Question 5: Do you agree with the specification of a minimum set of exposures to be considered as materially exposed to environmental transition risk as per paragraphs 16 and 17, and with the reference to the EU taxonomy as a proxy for supporting justification of non-materiality? Do you think the </w:t>
      </w:r>
      <w:r w:rsidRPr="001F791F">
        <w:rPr>
          <w:rFonts w:asciiTheme="majorBidi" w:hAnsiTheme="majorBidi" w:cstheme="majorBidi"/>
          <w:color w:val="auto"/>
          <w:sz w:val="22"/>
          <w:szCs w:val="22"/>
          <w:lang w:val="en-GB"/>
        </w:rPr>
        <w:lastRenderedPageBreak/>
        <w:t>guidelines should provide similar requirements for the materiality assessment of physical risks, social risks and governance risks? If yes, please elaborate and provide suggestions.</w:t>
      </w:r>
    </w:p>
    <w:p w14:paraId="7C090333" w14:textId="77777777" w:rsidR="00AB5FC0" w:rsidRPr="001F791F" w:rsidRDefault="00AB5FC0" w:rsidP="00661089">
      <w:pPr>
        <w:pStyle w:val="Default"/>
        <w:jc w:val="both"/>
        <w:rPr>
          <w:rFonts w:asciiTheme="majorBidi" w:hAnsiTheme="majorBidi" w:cstheme="majorBidi"/>
          <w:color w:val="auto"/>
          <w:sz w:val="22"/>
          <w:szCs w:val="22"/>
          <w:lang w:val="en-GB"/>
        </w:rPr>
      </w:pPr>
    </w:p>
    <w:p w14:paraId="46DB02D2" w14:textId="77777777" w:rsidR="00AB5FC0" w:rsidRPr="001F791F" w:rsidRDefault="00AB5FC0" w:rsidP="00661089">
      <w:pPr>
        <w:pStyle w:val="Default"/>
        <w:jc w:val="both"/>
        <w:rPr>
          <w:rFonts w:asciiTheme="majorBidi" w:hAnsiTheme="majorBidi" w:cstheme="majorBidi"/>
          <w:color w:val="auto"/>
          <w:sz w:val="22"/>
          <w:szCs w:val="22"/>
          <w:lang w:val="en-GB"/>
        </w:rPr>
      </w:pPr>
    </w:p>
    <w:p w14:paraId="5CD4E17F" w14:textId="77777777" w:rsidR="00AB5FC0" w:rsidRPr="001F791F" w:rsidRDefault="00AB5FC0" w:rsidP="00661089">
      <w:pPr>
        <w:pStyle w:val="Default"/>
        <w:jc w:val="both"/>
        <w:rPr>
          <w:rFonts w:asciiTheme="majorBidi" w:hAnsiTheme="majorBidi" w:cstheme="majorBidi"/>
          <w:color w:val="auto"/>
          <w:sz w:val="22"/>
          <w:szCs w:val="22"/>
          <w:lang w:val="en-GB"/>
        </w:rPr>
      </w:pPr>
    </w:p>
    <w:p w14:paraId="69D5859A" w14:textId="77777777" w:rsidR="00E56DA6" w:rsidRPr="001F791F" w:rsidRDefault="00E56DA6" w:rsidP="00661089">
      <w:pPr>
        <w:pStyle w:val="Default"/>
        <w:jc w:val="both"/>
        <w:rPr>
          <w:rFonts w:asciiTheme="majorBidi" w:hAnsiTheme="majorBidi" w:cstheme="majorBidi"/>
          <w:b/>
          <w:bCs/>
          <w:color w:val="auto"/>
          <w:sz w:val="22"/>
          <w:szCs w:val="22"/>
          <w:lang w:val="en-GB"/>
        </w:rPr>
      </w:pPr>
      <w:r w:rsidRPr="001F791F">
        <w:rPr>
          <w:rFonts w:asciiTheme="majorBidi" w:hAnsiTheme="majorBidi" w:cstheme="majorBidi"/>
          <w:b/>
          <w:bCs/>
          <w:color w:val="auto"/>
          <w:sz w:val="22"/>
          <w:szCs w:val="22"/>
          <w:lang w:val="en-GB"/>
        </w:rPr>
        <w:t>Question 6: Do you have comments on the data processes that institutions should have in place with regard to ESG risks?</w:t>
      </w:r>
    </w:p>
    <w:p w14:paraId="22384848" w14:textId="77777777" w:rsidR="00E56DA6" w:rsidRPr="001F791F" w:rsidRDefault="00E56DA6" w:rsidP="00661089">
      <w:pPr>
        <w:pStyle w:val="Default"/>
        <w:jc w:val="both"/>
        <w:rPr>
          <w:rFonts w:asciiTheme="majorBidi" w:hAnsiTheme="majorBidi" w:cstheme="majorBidi"/>
          <w:color w:val="auto"/>
          <w:sz w:val="22"/>
          <w:szCs w:val="22"/>
          <w:lang w:val="en-GB"/>
        </w:rPr>
      </w:pPr>
    </w:p>
    <w:p w14:paraId="1F855671" w14:textId="45C0B2A2" w:rsidR="00AB5FC0" w:rsidRPr="001F791F" w:rsidRDefault="00AB5FC0" w:rsidP="007760BA">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 xml:space="preserve">The collection of data </w:t>
      </w:r>
      <w:r w:rsidR="00D66ED2">
        <w:rPr>
          <w:rFonts w:asciiTheme="majorBidi" w:hAnsiTheme="majorBidi" w:cstheme="majorBidi"/>
          <w:color w:val="auto"/>
          <w:sz w:val="22"/>
          <w:szCs w:val="22"/>
          <w:lang w:val="en-GB"/>
        </w:rPr>
        <w:t xml:space="preserve">related to ESG risks is currently no easy task since </w:t>
      </w:r>
      <w:r w:rsidR="00717818">
        <w:rPr>
          <w:rFonts w:asciiTheme="majorBidi" w:hAnsiTheme="majorBidi" w:cstheme="majorBidi"/>
          <w:color w:val="auto"/>
          <w:sz w:val="22"/>
          <w:szCs w:val="22"/>
          <w:lang w:val="en-GB"/>
        </w:rPr>
        <w:t xml:space="preserve">ESG </w:t>
      </w:r>
      <w:r w:rsidR="00D66ED2">
        <w:rPr>
          <w:rFonts w:asciiTheme="majorBidi" w:hAnsiTheme="majorBidi" w:cstheme="majorBidi"/>
          <w:color w:val="auto"/>
          <w:sz w:val="22"/>
          <w:szCs w:val="22"/>
          <w:lang w:val="en-GB"/>
        </w:rPr>
        <w:t>report</w:t>
      </w:r>
      <w:r w:rsidR="00717818">
        <w:rPr>
          <w:rFonts w:asciiTheme="majorBidi" w:hAnsiTheme="majorBidi" w:cstheme="majorBidi"/>
          <w:color w:val="auto"/>
          <w:sz w:val="22"/>
          <w:szCs w:val="22"/>
          <w:lang w:val="en-GB"/>
        </w:rPr>
        <w:t xml:space="preserve">s and </w:t>
      </w:r>
      <w:r w:rsidR="00D66ED2">
        <w:rPr>
          <w:rFonts w:asciiTheme="majorBidi" w:hAnsiTheme="majorBidi" w:cstheme="majorBidi"/>
          <w:color w:val="auto"/>
          <w:sz w:val="22"/>
          <w:szCs w:val="22"/>
          <w:lang w:val="en-GB"/>
        </w:rPr>
        <w:t xml:space="preserve">data </w:t>
      </w:r>
      <w:r w:rsidR="00717818">
        <w:rPr>
          <w:rFonts w:asciiTheme="majorBidi" w:hAnsiTheme="majorBidi" w:cstheme="majorBidi"/>
          <w:color w:val="auto"/>
          <w:sz w:val="22"/>
          <w:szCs w:val="22"/>
          <w:lang w:val="en-GB"/>
        </w:rPr>
        <w:t>are</w:t>
      </w:r>
      <w:r w:rsidR="00D66ED2">
        <w:rPr>
          <w:rFonts w:asciiTheme="majorBidi" w:hAnsiTheme="majorBidi" w:cstheme="majorBidi"/>
          <w:color w:val="auto"/>
          <w:sz w:val="22"/>
          <w:szCs w:val="22"/>
          <w:lang w:val="en-GB"/>
        </w:rPr>
        <w:t xml:space="preserve"> still not always available, and this should be considered accordingly when institutions are required to analyse and manage ESG risks. This  also </w:t>
      </w:r>
      <w:r w:rsidRPr="001F791F">
        <w:rPr>
          <w:rFonts w:asciiTheme="majorBidi" w:hAnsiTheme="majorBidi" w:cstheme="majorBidi"/>
          <w:color w:val="auto"/>
          <w:sz w:val="22"/>
          <w:szCs w:val="22"/>
          <w:lang w:val="en-GB"/>
        </w:rPr>
        <w:t>raises the question of harmonization of practices of ESG rating agencies.</w:t>
      </w:r>
    </w:p>
    <w:p w14:paraId="352AEC33" w14:textId="77777777" w:rsidR="00AB5FC0" w:rsidRPr="001F791F" w:rsidRDefault="00AB5FC0" w:rsidP="007760BA">
      <w:pPr>
        <w:pStyle w:val="Default"/>
        <w:jc w:val="both"/>
        <w:rPr>
          <w:rFonts w:asciiTheme="majorBidi" w:hAnsiTheme="majorBidi" w:cstheme="majorBidi"/>
          <w:color w:val="auto"/>
          <w:sz w:val="22"/>
          <w:szCs w:val="22"/>
          <w:lang w:val="en-GB"/>
        </w:rPr>
      </w:pPr>
    </w:p>
    <w:p w14:paraId="6CBCFFA7" w14:textId="22FD2E32" w:rsidR="003B6162" w:rsidRPr="001F791F" w:rsidRDefault="003B6162" w:rsidP="007760BA">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US"/>
        </w:rPr>
        <w:t>To be efficient</w:t>
      </w:r>
      <w:r w:rsidR="001F6A30" w:rsidRPr="001F791F">
        <w:rPr>
          <w:rFonts w:asciiTheme="majorBidi" w:hAnsiTheme="majorBidi" w:cstheme="majorBidi"/>
          <w:color w:val="auto"/>
          <w:sz w:val="22"/>
          <w:szCs w:val="22"/>
          <w:lang w:val="en-US"/>
        </w:rPr>
        <w:t>, the</w:t>
      </w:r>
      <w:r w:rsidRPr="001F791F">
        <w:rPr>
          <w:rFonts w:asciiTheme="majorBidi" w:hAnsiTheme="majorBidi" w:cstheme="majorBidi"/>
          <w:color w:val="auto"/>
          <w:sz w:val="22"/>
          <w:szCs w:val="22"/>
          <w:lang w:val="en-US"/>
        </w:rPr>
        <w:t xml:space="preserve"> </w:t>
      </w:r>
      <w:r w:rsidR="001F6A30" w:rsidRPr="001F791F">
        <w:rPr>
          <w:rFonts w:asciiTheme="majorBidi" w:hAnsiTheme="majorBidi" w:cstheme="majorBidi"/>
          <w:color w:val="auto"/>
          <w:sz w:val="22"/>
          <w:szCs w:val="22"/>
          <w:lang w:val="en-US"/>
        </w:rPr>
        <w:t>i</w:t>
      </w:r>
      <w:r w:rsidRPr="001F791F">
        <w:rPr>
          <w:rFonts w:asciiTheme="majorBidi" w:hAnsiTheme="majorBidi" w:cstheme="majorBidi"/>
          <w:color w:val="auto"/>
          <w:sz w:val="22"/>
          <w:szCs w:val="22"/>
          <w:lang w:val="en-US"/>
        </w:rPr>
        <w:t>ndustry needs to know how to set the rules and how rating agencies work</w:t>
      </w:r>
    </w:p>
    <w:p w14:paraId="29A8A839" w14:textId="6305D5D0" w:rsidR="003B6162" w:rsidRPr="001F791F" w:rsidRDefault="003B6162" w:rsidP="007760BA">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US"/>
        </w:rPr>
        <w:t xml:space="preserve">Whereas legislation is still in process at EU level, the problem of evaluation of the ESG ratings by agencies remains, and </w:t>
      </w:r>
      <w:r w:rsidR="00887D1E" w:rsidRPr="001F791F">
        <w:rPr>
          <w:rFonts w:asciiTheme="majorBidi" w:hAnsiTheme="majorBidi" w:cstheme="majorBidi"/>
          <w:color w:val="auto"/>
          <w:sz w:val="22"/>
          <w:szCs w:val="22"/>
          <w:lang w:val="en-US"/>
        </w:rPr>
        <w:t>lack of</w:t>
      </w:r>
      <w:r w:rsidRPr="001F791F">
        <w:rPr>
          <w:rFonts w:asciiTheme="majorBidi" w:hAnsiTheme="majorBidi" w:cstheme="majorBidi"/>
          <w:color w:val="auto"/>
          <w:sz w:val="22"/>
          <w:szCs w:val="22"/>
          <w:lang w:val="en-US"/>
        </w:rPr>
        <w:t xml:space="preserve"> supervision of the obligation to report on the methodology </w:t>
      </w:r>
      <w:r w:rsidR="00887D1E" w:rsidRPr="001F791F">
        <w:rPr>
          <w:rFonts w:asciiTheme="majorBidi" w:hAnsiTheme="majorBidi" w:cstheme="majorBidi"/>
          <w:color w:val="auto"/>
          <w:sz w:val="22"/>
          <w:szCs w:val="22"/>
          <w:lang w:val="en-US"/>
        </w:rPr>
        <w:t>of rating agencies</w:t>
      </w:r>
      <w:r w:rsidR="004F43E8" w:rsidRPr="001F791F">
        <w:rPr>
          <w:rFonts w:asciiTheme="majorBidi" w:hAnsiTheme="majorBidi" w:cstheme="majorBidi"/>
          <w:color w:val="auto"/>
          <w:sz w:val="22"/>
          <w:szCs w:val="22"/>
          <w:lang w:val="en-US"/>
        </w:rPr>
        <w:t xml:space="preserve"> </w:t>
      </w:r>
      <w:r w:rsidRPr="001F791F">
        <w:rPr>
          <w:rFonts w:asciiTheme="majorBidi" w:hAnsiTheme="majorBidi" w:cstheme="majorBidi"/>
          <w:color w:val="auto"/>
          <w:sz w:val="22"/>
          <w:szCs w:val="22"/>
          <w:lang w:val="en-US"/>
        </w:rPr>
        <w:t>results in a lack of transparency</w:t>
      </w:r>
      <w:r w:rsidR="00CA2912">
        <w:rPr>
          <w:rFonts w:asciiTheme="majorBidi" w:hAnsiTheme="majorBidi" w:cstheme="majorBidi"/>
          <w:color w:val="auto"/>
          <w:sz w:val="22"/>
          <w:szCs w:val="22"/>
          <w:lang w:val="en-US"/>
        </w:rPr>
        <w:t>.</w:t>
      </w:r>
    </w:p>
    <w:p w14:paraId="464A649B" w14:textId="59CE9E63" w:rsidR="003B6162" w:rsidRPr="001F791F" w:rsidRDefault="003B6162" w:rsidP="007760BA">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US"/>
        </w:rPr>
        <w:t>The methodology of rating agencies (which very often are global) has to be the same : a</w:t>
      </w:r>
      <w:r w:rsidR="004F43E8" w:rsidRPr="001F791F">
        <w:rPr>
          <w:rFonts w:asciiTheme="majorBidi" w:hAnsiTheme="majorBidi" w:cstheme="majorBidi"/>
          <w:color w:val="auto"/>
          <w:sz w:val="22"/>
          <w:szCs w:val="22"/>
          <w:lang w:val="en-US"/>
        </w:rPr>
        <w:t>n effective</w:t>
      </w:r>
      <w:r w:rsidRPr="001F791F">
        <w:rPr>
          <w:rFonts w:asciiTheme="majorBidi" w:hAnsiTheme="majorBidi" w:cstheme="majorBidi"/>
          <w:color w:val="auto"/>
          <w:sz w:val="22"/>
          <w:szCs w:val="22"/>
          <w:lang w:val="en-US"/>
        </w:rPr>
        <w:t xml:space="preserve"> harmonization would ease the lives of </w:t>
      </w:r>
      <w:r w:rsidR="00B224FE" w:rsidRPr="001F791F">
        <w:rPr>
          <w:rFonts w:asciiTheme="majorBidi" w:hAnsiTheme="majorBidi" w:cstheme="majorBidi"/>
          <w:color w:val="auto"/>
          <w:sz w:val="22"/>
          <w:szCs w:val="22"/>
          <w:lang w:val="en-US"/>
        </w:rPr>
        <w:t>institution</w:t>
      </w:r>
      <w:r w:rsidRPr="001F791F">
        <w:rPr>
          <w:rFonts w:asciiTheme="majorBidi" w:hAnsiTheme="majorBidi" w:cstheme="majorBidi"/>
          <w:color w:val="auto"/>
          <w:sz w:val="22"/>
          <w:szCs w:val="22"/>
          <w:lang w:val="en-US"/>
        </w:rPr>
        <w:t>s and help them to price the risk according to the ESG tenor of transactions</w:t>
      </w:r>
      <w:r w:rsidR="00B224FE" w:rsidRPr="001F791F">
        <w:rPr>
          <w:rFonts w:asciiTheme="majorBidi" w:hAnsiTheme="majorBidi" w:cstheme="majorBidi"/>
          <w:color w:val="auto"/>
          <w:sz w:val="22"/>
          <w:szCs w:val="22"/>
          <w:lang w:val="en-US"/>
        </w:rPr>
        <w:t>.</w:t>
      </w:r>
    </w:p>
    <w:p w14:paraId="7CA6570B" w14:textId="77777777" w:rsidR="00AB5FC0" w:rsidRPr="001F791F" w:rsidRDefault="00AB5FC0" w:rsidP="007760BA">
      <w:pPr>
        <w:pStyle w:val="Default"/>
        <w:jc w:val="both"/>
        <w:rPr>
          <w:rFonts w:asciiTheme="majorBidi" w:hAnsiTheme="majorBidi" w:cstheme="majorBidi"/>
          <w:color w:val="auto"/>
          <w:sz w:val="22"/>
          <w:szCs w:val="22"/>
          <w:lang w:val="en-GB"/>
        </w:rPr>
      </w:pPr>
    </w:p>
    <w:p w14:paraId="128B69EA" w14:textId="77777777" w:rsidR="00E56DA6" w:rsidRPr="001F791F" w:rsidRDefault="00E56DA6" w:rsidP="00661089">
      <w:pPr>
        <w:pStyle w:val="Default"/>
        <w:jc w:val="both"/>
        <w:rPr>
          <w:rFonts w:asciiTheme="majorBidi" w:hAnsiTheme="majorBidi" w:cstheme="majorBidi"/>
          <w:color w:val="auto"/>
          <w:sz w:val="22"/>
          <w:szCs w:val="22"/>
          <w:lang w:val="en-GB"/>
        </w:rPr>
      </w:pPr>
    </w:p>
    <w:p w14:paraId="3F7364B3"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 7: Do you have comments on the measurement and assessment principles?</w:t>
      </w:r>
    </w:p>
    <w:p w14:paraId="67551727" w14:textId="77777777" w:rsidR="00E56DA6" w:rsidRPr="001F791F" w:rsidRDefault="00E56DA6" w:rsidP="00661089">
      <w:pPr>
        <w:pStyle w:val="Default"/>
        <w:jc w:val="both"/>
        <w:rPr>
          <w:rFonts w:asciiTheme="majorBidi" w:hAnsiTheme="majorBidi" w:cstheme="majorBidi"/>
          <w:color w:val="auto"/>
          <w:sz w:val="22"/>
          <w:szCs w:val="22"/>
          <w:lang w:val="en-GB"/>
        </w:rPr>
      </w:pPr>
    </w:p>
    <w:p w14:paraId="59467B43" w14:textId="77777777" w:rsidR="00E56DA6" w:rsidRPr="001F791F" w:rsidRDefault="00E56DA6" w:rsidP="00661089">
      <w:pPr>
        <w:pStyle w:val="Default"/>
        <w:jc w:val="both"/>
        <w:rPr>
          <w:rFonts w:asciiTheme="majorBidi" w:hAnsiTheme="majorBidi" w:cstheme="majorBidi"/>
          <w:color w:val="auto"/>
          <w:sz w:val="22"/>
          <w:szCs w:val="22"/>
          <w:lang w:val="en-GB"/>
        </w:rPr>
      </w:pPr>
    </w:p>
    <w:p w14:paraId="48EAF541"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 8: Do you have comments on the exposure-based methodology?</w:t>
      </w:r>
    </w:p>
    <w:p w14:paraId="3E98BAED" w14:textId="77777777" w:rsidR="00E56DA6" w:rsidRPr="001F791F" w:rsidRDefault="00E56DA6" w:rsidP="00661089">
      <w:pPr>
        <w:pStyle w:val="Default"/>
        <w:jc w:val="both"/>
        <w:rPr>
          <w:rFonts w:asciiTheme="majorBidi" w:hAnsiTheme="majorBidi" w:cstheme="majorBidi"/>
          <w:color w:val="auto"/>
          <w:sz w:val="22"/>
          <w:szCs w:val="22"/>
          <w:lang w:val="en-GB"/>
        </w:rPr>
      </w:pPr>
    </w:p>
    <w:p w14:paraId="5681DF39" w14:textId="77777777" w:rsidR="00E56DA6" w:rsidRPr="001F791F" w:rsidRDefault="00E56DA6" w:rsidP="00661089">
      <w:pPr>
        <w:pStyle w:val="Default"/>
        <w:jc w:val="both"/>
        <w:rPr>
          <w:rFonts w:asciiTheme="majorBidi" w:hAnsiTheme="majorBidi" w:cstheme="majorBidi"/>
          <w:color w:val="auto"/>
          <w:sz w:val="22"/>
          <w:szCs w:val="22"/>
          <w:lang w:val="en-GB"/>
        </w:rPr>
      </w:pPr>
    </w:p>
    <w:p w14:paraId="781EF186" w14:textId="78CF8A5D" w:rsidR="00E56DA6" w:rsidRPr="001F791F" w:rsidRDefault="00E56DA6" w:rsidP="00661089">
      <w:pPr>
        <w:spacing w:after="0" w:line="240" w:lineRule="auto"/>
        <w:jc w:val="both"/>
        <w:rPr>
          <w:rFonts w:asciiTheme="majorBidi" w:hAnsiTheme="majorBidi" w:cstheme="majorBidi"/>
          <w:sz w:val="22"/>
          <w:szCs w:val="22"/>
          <w:lang w:val="en-GB"/>
        </w:rPr>
      </w:pPr>
      <w:r w:rsidRPr="001F791F">
        <w:rPr>
          <w:rFonts w:asciiTheme="majorBidi" w:hAnsiTheme="majorBidi" w:cstheme="majorBidi"/>
          <w:sz w:val="22"/>
          <w:szCs w:val="22"/>
          <w:lang w:val="en-GB"/>
        </w:rPr>
        <w:t>Question 9: Do you have comments on the portfolio alignment methodologies, including the reference to the IEA net zero scenario? Should the guidelines provide further details on the specific scenarios and/or climate portfolio alignment methodologies that institutions should use? If yes, please elaborate and provide suggestions.</w:t>
      </w:r>
    </w:p>
    <w:p w14:paraId="0CECAF7E" w14:textId="77777777" w:rsidR="00E56DA6" w:rsidRPr="001F791F" w:rsidRDefault="00E56DA6" w:rsidP="00661089">
      <w:pPr>
        <w:spacing w:after="0" w:line="240" w:lineRule="auto"/>
        <w:jc w:val="both"/>
        <w:rPr>
          <w:rFonts w:asciiTheme="majorBidi" w:hAnsiTheme="majorBidi" w:cstheme="majorBidi"/>
          <w:sz w:val="22"/>
          <w:szCs w:val="22"/>
          <w:lang w:val="en-GB"/>
        </w:rPr>
      </w:pPr>
    </w:p>
    <w:p w14:paraId="19E9BCE4" w14:textId="77777777" w:rsidR="00E56DA6" w:rsidRPr="001F791F" w:rsidRDefault="00E56DA6" w:rsidP="00661089">
      <w:pPr>
        <w:pStyle w:val="Default"/>
        <w:jc w:val="both"/>
        <w:rPr>
          <w:rFonts w:asciiTheme="majorBidi" w:hAnsiTheme="majorBidi" w:cstheme="majorBidi"/>
          <w:color w:val="auto"/>
          <w:sz w:val="22"/>
          <w:szCs w:val="22"/>
          <w:lang w:val="en-GB"/>
        </w:rPr>
      </w:pPr>
    </w:p>
    <w:p w14:paraId="37003B9D" w14:textId="77777777" w:rsidR="00E56DA6" w:rsidRPr="001F791F" w:rsidRDefault="00E56DA6" w:rsidP="00661089">
      <w:pPr>
        <w:pStyle w:val="Default"/>
        <w:jc w:val="both"/>
        <w:rPr>
          <w:rFonts w:asciiTheme="majorBidi" w:hAnsiTheme="majorBidi" w:cstheme="majorBidi"/>
          <w:b/>
          <w:bCs/>
          <w:color w:val="auto"/>
          <w:sz w:val="22"/>
          <w:szCs w:val="22"/>
          <w:lang w:val="en-GB"/>
        </w:rPr>
      </w:pPr>
      <w:r w:rsidRPr="001F791F">
        <w:rPr>
          <w:rFonts w:asciiTheme="majorBidi" w:hAnsiTheme="majorBidi" w:cstheme="majorBidi"/>
          <w:b/>
          <w:bCs/>
          <w:color w:val="auto"/>
          <w:sz w:val="22"/>
          <w:szCs w:val="22"/>
          <w:lang w:val="en-GB"/>
        </w:rPr>
        <w:t>Question 10: Do you have comments on the ESG risks management principles?</w:t>
      </w:r>
    </w:p>
    <w:p w14:paraId="4C184604" w14:textId="77777777" w:rsidR="00E56DA6" w:rsidRPr="001F791F" w:rsidRDefault="00E56DA6" w:rsidP="00661089">
      <w:pPr>
        <w:pStyle w:val="Default"/>
        <w:jc w:val="both"/>
        <w:rPr>
          <w:rFonts w:asciiTheme="majorBidi" w:hAnsiTheme="majorBidi" w:cstheme="majorBidi"/>
          <w:color w:val="auto"/>
          <w:sz w:val="22"/>
          <w:szCs w:val="22"/>
          <w:lang w:val="en-GB"/>
        </w:rPr>
      </w:pPr>
    </w:p>
    <w:p w14:paraId="453F916D" w14:textId="77777777" w:rsidR="00775702" w:rsidRDefault="00B57C02" w:rsidP="000301EA">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Guidelines ask for tools</w:t>
      </w:r>
      <w:r w:rsidR="008569B7" w:rsidRPr="001F791F">
        <w:rPr>
          <w:rFonts w:asciiTheme="majorBidi" w:hAnsiTheme="majorBidi" w:cstheme="majorBidi"/>
          <w:color w:val="auto"/>
          <w:sz w:val="22"/>
          <w:szCs w:val="22"/>
          <w:lang w:val="en-GB"/>
        </w:rPr>
        <w:t xml:space="preserve"> in order to mitigate ESG risks. Among those tools, there is the engagement </w:t>
      </w:r>
      <w:r w:rsidR="00FD6DE7" w:rsidRPr="001F791F">
        <w:rPr>
          <w:rFonts w:asciiTheme="majorBidi" w:hAnsiTheme="majorBidi" w:cstheme="majorBidi"/>
          <w:color w:val="auto"/>
          <w:sz w:val="22"/>
          <w:szCs w:val="22"/>
          <w:lang w:val="en-GB"/>
        </w:rPr>
        <w:t>with counterparties aiming at improving their ESG risk profile.</w:t>
      </w:r>
    </w:p>
    <w:p w14:paraId="1C107EF8" w14:textId="31378345" w:rsidR="00DA662C" w:rsidRPr="001F791F" w:rsidRDefault="00FD6DE7" w:rsidP="000301EA">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Factors are committed</w:t>
      </w:r>
      <w:r w:rsidR="00F56623" w:rsidRPr="001F791F">
        <w:rPr>
          <w:rFonts w:asciiTheme="majorBidi" w:hAnsiTheme="majorBidi" w:cstheme="majorBidi"/>
          <w:color w:val="auto"/>
          <w:sz w:val="22"/>
          <w:szCs w:val="22"/>
          <w:lang w:val="en-GB"/>
        </w:rPr>
        <w:t xml:space="preserve"> to classify their clients from an ESG perspective</w:t>
      </w:r>
      <w:r w:rsidR="00594589" w:rsidRPr="001F791F">
        <w:rPr>
          <w:rFonts w:asciiTheme="majorBidi" w:hAnsiTheme="majorBidi" w:cstheme="majorBidi"/>
          <w:color w:val="auto"/>
          <w:sz w:val="22"/>
          <w:szCs w:val="22"/>
          <w:lang w:val="en-GB"/>
        </w:rPr>
        <w:t xml:space="preserve">. Alongside </w:t>
      </w:r>
      <w:r w:rsidR="00B365CA" w:rsidRPr="001F791F">
        <w:rPr>
          <w:rFonts w:asciiTheme="majorBidi" w:hAnsiTheme="majorBidi" w:cstheme="majorBidi"/>
          <w:color w:val="auto"/>
          <w:sz w:val="22"/>
          <w:szCs w:val="22"/>
          <w:lang w:val="en-GB"/>
        </w:rPr>
        <w:t xml:space="preserve">the ESG “pure players” and the clients </w:t>
      </w:r>
      <w:r w:rsidR="009810D8" w:rsidRPr="001F791F">
        <w:rPr>
          <w:rFonts w:asciiTheme="majorBidi" w:hAnsiTheme="majorBidi" w:cstheme="majorBidi"/>
          <w:color w:val="auto"/>
          <w:sz w:val="22"/>
          <w:szCs w:val="22"/>
          <w:lang w:val="en-GB"/>
        </w:rPr>
        <w:t xml:space="preserve">for which </w:t>
      </w:r>
      <w:r w:rsidR="00232DC5" w:rsidRPr="001F791F">
        <w:rPr>
          <w:rFonts w:asciiTheme="majorBidi" w:hAnsiTheme="majorBidi" w:cstheme="majorBidi"/>
          <w:color w:val="auto"/>
          <w:sz w:val="22"/>
          <w:szCs w:val="22"/>
          <w:lang w:val="en-GB"/>
        </w:rPr>
        <w:t xml:space="preserve">the underlying asset is green or ESG, </w:t>
      </w:r>
      <w:r w:rsidR="009810D8" w:rsidRPr="001F791F">
        <w:rPr>
          <w:rFonts w:asciiTheme="majorBidi" w:hAnsiTheme="majorBidi" w:cstheme="majorBidi"/>
          <w:color w:val="auto"/>
          <w:sz w:val="22"/>
          <w:szCs w:val="22"/>
          <w:lang w:val="en-GB"/>
        </w:rPr>
        <w:t xml:space="preserve">there are the other clients </w:t>
      </w:r>
      <w:r w:rsidR="00717818">
        <w:rPr>
          <w:rFonts w:asciiTheme="majorBidi" w:hAnsiTheme="majorBidi" w:cstheme="majorBidi"/>
          <w:color w:val="auto"/>
          <w:sz w:val="22"/>
          <w:szCs w:val="22"/>
          <w:lang w:val="en-GB"/>
        </w:rPr>
        <w:t xml:space="preserve">whose “ESG purity” is not clearcut, but </w:t>
      </w:r>
      <w:r w:rsidR="00DA662C" w:rsidRPr="001F791F">
        <w:rPr>
          <w:rFonts w:asciiTheme="majorBidi" w:hAnsiTheme="majorBidi" w:cstheme="majorBidi"/>
          <w:color w:val="auto"/>
          <w:sz w:val="22"/>
          <w:szCs w:val="22"/>
          <w:lang w:val="en-GB"/>
        </w:rPr>
        <w:t>for which factors have the idea that</w:t>
      </w:r>
      <w:r w:rsidR="00717818">
        <w:rPr>
          <w:rFonts w:asciiTheme="majorBidi" w:hAnsiTheme="majorBidi" w:cstheme="majorBidi"/>
          <w:color w:val="auto"/>
          <w:sz w:val="22"/>
          <w:szCs w:val="22"/>
          <w:lang w:val="en-GB"/>
        </w:rPr>
        <w:t xml:space="preserve"> they are e.g. in the transition process and that</w:t>
      </w:r>
      <w:r w:rsidR="00DA662C" w:rsidRPr="001F791F">
        <w:rPr>
          <w:rFonts w:asciiTheme="majorBidi" w:hAnsiTheme="majorBidi" w:cstheme="majorBidi"/>
          <w:color w:val="auto"/>
          <w:sz w:val="22"/>
          <w:szCs w:val="22"/>
          <w:lang w:val="en-GB"/>
        </w:rPr>
        <w:t xml:space="preserve"> the financial world should help and challenge </w:t>
      </w:r>
      <w:r w:rsidR="00717818">
        <w:rPr>
          <w:rFonts w:asciiTheme="majorBidi" w:hAnsiTheme="majorBidi" w:cstheme="majorBidi"/>
          <w:color w:val="auto"/>
          <w:sz w:val="22"/>
          <w:szCs w:val="22"/>
          <w:lang w:val="en-GB"/>
        </w:rPr>
        <w:t xml:space="preserve">these </w:t>
      </w:r>
      <w:r w:rsidR="00DA662C" w:rsidRPr="001F791F">
        <w:rPr>
          <w:rFonts w:asciiTheme="majorBidi" w:hAnsiTheme="majorBidi" w:cstheme="majorBidi"/>
          <w:color w:val="auto"/>
          <w:sz w:val="22"/>
          <w:szCs w:val="22"/>
          <w:lang w:val="en-GB"/>
        </w:rPr>
        <w:t xml:space="preserve">companies to follow a </w:t>
      </w:r>
      <w:r w:rsidR="00717818">
        <w:rPr>
          <w:rFonts w:asciiTheme="majorBidi" w:hAnsiTheme="majorBidi" w:cstheme="majorBidi"/>
          <w:color w:val="auto"/>
          <w:sz w:val="22"/>
          <w:szCs w:val="22"/>
          <w:lang w:val="en-GB"/>
        </w:rPr>
        <w:t xml:space="preserve">more ESG-compliant </w:t>
      </w:r>
      <w:r w:rsidR="00DA662C" w:rsidRPr="001F791F">
        <w:rPr>
          <w:rFonts w:asciiTheme="majorBidi" w:hAnsiTheme="majorBidi" w:cstheme="majorBidi"/>
          <w:color w:val="auto"/>
          <w:sz w:val="22"/>
          <w:szCs w:val="22"/>
          <w:lang w:val="en-GB"/>
        </w:rPr>
        <w:t>trajectory</w:t>
      </w:r>
      <w:r w:rsidR="00717818">
        <w:rPr>
          <w:rFonts w:asciiTheme="majorBidi" w:hAnsiTheme="majorBidi" w:cstheme="majorBidi"/>
          <w:color w:val="auto"/>
          <w:sz w:val="22"/>
          <w:szCs w:val="22"/>
          <w:lang w:val="en-GB"/>
        </w:rPr>
        <w:t xml:space="preserve"> through the</w:t>
      </w:r>
      <w:r w:rsidR="00DA662C" w:rsidRPr="001F791F">
        <w:rPr>
          <w:rFonts w:asciiTheme="majorBidi" w:hAnsiTheme="majorBidi" w:cstheme="majorBidi"/>
          <w:color w:val="auto"/>
          <w:sz w:val="22"/>
          <w:szCs w:val="22"/>
          <w:lang w:val="en-GB"/>
        </w:rPr>
        <w:t xml:space="preserve"> use of KPIs </w:t>
      </w:r>
      <w:r w:rsidR="00717818">
        <w:rPr>
          <w:rFonts w:asciiTheme="majorBidi" w:hAnsiTheme="majorBidi" w:cstheme="majorBidi"/>
          <w:color w:val="auto"/>
          <w:sz w:val="22"/>
          <w:szCs w:val="22"/>
          <w:lang w:val="en-GB"/>
        </w:rPr>
        <w:t>or other</w:t>
      </w:r>
      <w:r w:rsidR="00DA662C" w:rsidRPr="001F791F">
        <w:rPr>
          <w:rFonts w:asciiTheme="majorBidi" w:hAnsiTheme="majorBidi" w:cstheme="majorBidi"/>
          <w:color w:val="auto"/>
          <w:sz w:val="22"/>
          <w:szCs w:val="22"/>
          <w:lang w:val="en-GB"/>
        </w:rPr>
        <w:t xml:space="preserve"> incentives, etc.</w:t>
      </w:r>
    </w:p>
    <w:p w14:paraId="0731267A" w14:textId="3FE3BCD2" w:rsidR="00B57C02" w:rsidRPr="001F791F" w:rsidRDefault="00B57C02" w:rsidP="000301EA">
      <w:pPr>
        <w:pStyle w:val="Default"/>
        <w:jc w:val="both"/>
        <w:rPr>
          <w:rFonts w:asciiTheme="majorBidi" w:hAnsiTheme="majorBidi" w:cstheme="majorBidi"/>
          <w:color w:val="auto"/>
          <w:sz w:val="22"/>
          <w:szCs w:val="22"/>
          <w:lang w:val="en-GB"/>
        </w:rPr>
      </w:pPr>
    </w:p>
    <w:p w14:paraId="2E1C791B" w14:textId="3BD2D90B" w:rsidR="004A47D0" w:rsidRPr="001F791F" w:rsidRDefault="004A47D0" w:rsidP="000301EA">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 xml:space="preserve">A lot of time </w:t>
      </w:r>
      <w:r w:rsidR="00262250" w:rsidRPr="001F791F">
        <w:rPr>
          <w:rFonts w:asciiTheme="majorBidi" w:hAnsiTheme="majorBidi" w:cstheme="majorBidi"/>
          <w:color w:val="auto"/>
          <w:sz w:val="22"/>
          <w:szCs w:val="22"/>
          <w:lang w:val="en-GB"/>
        </w:rPr>
        <w:t>ha</w:t>
      </w:r>
      <w:r w:rsidRPr="001F791F">
        <w:rPr>
          <w:rFonts w:asciiTheme="majorBidi" w:hAnsiTheme="majorBidi" w:cstheme="majorBidi"/>
          <w:color w:val="auto"/>
          <w:sz w:val="22"/>
          <w:szCs w:val="22"/>
          <w:lang w:val="en-GB"/>
        </w:rPr>
        <w:t xml:space="preserve">s </w:t>
      </w:r>
      <w:r w:rsidR="00262250" w:rsidRPr="001F791F">
        <w:rPr>
          <w:rFonts w:asciiTheme="majorBidi" w:hAnsiTheme="majorBidi" w:cstheme="majorBidi"/>
          <w:color w:val="auto"/>
          <w:sz w:val="22"/>
          <w:szCs w:val="22"/>
          <w:lang w:val="en-GB"/>
        </w:rPr>
        <w:t xml:space="preserve">to be </w:t>
      </w:r>
      <w:r w:rsidRPr="001F791F">
        <w:rPr>
          <w:rFonts w:asciiTheme="majorBidi" w:hAnsiTheme="majorBidi" w:cstheme="majorBidi"/>
          <w:color w:val="auto"/>
          <w:sz w:val="22"/>
          <w:szCs w:val="22"/>
          <w:lang w:val="en-GB"/>
        </w:rPr>
        <w:t>spent talking to the customer, who is challenged in its transition. On the basis of a plan (for example, announcing the stages of the transition in the balance sheet), an agreement c</w:t>
      </w:r>
      <w:r w:rsidR="00262250" w:rsidRPr="001F791F">
        <w:rPr>
          <w:rFonts w:asciiTheme="majorBidi" w:hAnsiTheme="majorBidi" w:cstheme="majorBidi"/>
          <w:color w:val="auto"/>
          <w:sz w:val="22"/>
          <w:szCs w:val="22"/>
          <w:lang w:val="en-GB"/>
        </w:rPr>
        <w:t>ould</w:t>
      </w:r>
      <w:r w:rsidRPr="001F791F">
        <w:rPr>
          <w:rFonts w:asciiTheme="majorBidi" w:hAnsiTheme="majorBidi" w:cstheme="majorBidi"/>
          <w:color w:val="auto"/>
          <w:sz w:val="22"/>
          <w:szCs w:val="22"/>
          <w:lang w:val="en-GB"/>
        </w:rPr>
        <w:t xml:space="preserve"> be reached to support the client towards the ESG target. This is all the more relevant as the factor only finances working capital: the factor must therefore </w:t>
      </w:r>
      <w:r w:rsidR="00717818">
        <w:rPr>
          <w:rFonts w:asciiTheme="majorBidi" w:hAnsiTheme="majorBidi" w:cstheme="majorBidi"/>
          <w:color w:val="auto"/>
          <w:sz w:val="22"/>
          <w:szCs w:val="22"/>
          <w:lang w:val="en-GB"/>
        </w:rPr>
        <w:t xml:space="preserve">be able to </w:t>
      </w:r>
      <w:r w:rsidRPr="001F791F">
        <w:rPr>
          <w:rFonts w:asciiTheme="majorBidi" w:hAnsiTheme="majorBidi" w:cstheme="majorBidi"/>
          <w:color w:val="auto"/>
          <w:sz w:val="22"/>
          <w:szCs w:val="22"/>
          <w:lang w:val="en-GB"/>
        </w:rPr>
        <w:t xml:space="preserve">rely on the customer's </w:t>
      </w:r>
      <w:r w:rsidR="00717818">
        <w:rPr>
          <w:rFonts w:asciiTheme="majorBidi" w:hAnsiTheme="majorBidi" w:cstheme="majorBidi"/>
          <w:color w:val="auto"/>
          <w:sz w:val="22"/>
          <w:szCs w:val="22"/>
          <w:lang w:val="en-GB"/>
        </w:rPr>
        <w:t xml:space="preserve">information on e.g. a </w:t>
      </w:r>
      <w:r w:rsidRPr="001F791F">
        <w:rPr>
          <w:rFonts w:asciiTheme="majorBidi" w:hAnsiTheme="majorBidi" w:cstheme="majorBidi"/>
          <w:color w:val="auto"/>
          <w:sz w:val="22"/>
          <w:szCs w:val="22"/>
          <w:lang w:val="en-GB"/>
        </w:rPr>
        <w:t>transition plan</w:t>
      </w:r>
      <w:r w:rsidR="00717818">
        <w:rPr>
          <w:rFonts w:asciiTheme="majorBidi" w:hAnsiTheme="majorBidi" w:cstheme="majorBidi"/>
          <w:color w:val="auto"/>
          <w:sz w:val="22"/>
          <w:szCs w:val="22"/>
          <w:lang w:val="en-GB"/>
        </w:rPr>
        <w:t xml:space="preserve"> without having to assess its soundness, irrespective of the client’s size</w:t>
      </w:r>
      <w:r w:rsidRPr="001F791F">
        <w:rPr>
          <w:rFonts w:asciiTheme="majorBidi" w:hAnsiTheme="majorBidi" w:cstheme="majorBidi"/>
          <w:color w:val="auto"/>
          <w:sz w:val="22"/>
          <w:szCs w:val="22"/>
          <w:lang w:val="en-GB"/>
        </w:rPr>
        <w:t>. (see § 42 a)</w:t>
      </w:r>
      <w:r w:rsidR="00717818">
        <w:rPr>
          <w:rFonts w:asciiTheme="majorBidi" w:hAnsiTheme="majorBidi" w:cstheme="majorBidi"/>
          <w:color w:val="auto"/>
          <w:sz w:val="22"/>
          <w:szCs w:val="22"/>
          <w:lang w:val="en-GB"/>
        </w:rPr>
        <w:t xml:space="preserve"> </w:t>
      </w:r>
    </w:p>
    <w:p w14:paraId="7ACBDE3F" w14:textId="77777777" w:rsidR="004A47D0" w:rsidRPr="001F791F" w:rsidRDefault="004A47D0" w:rsidP="000301EA">
      <w:pPr>
        <w:pStyle w:val="Default"/>
        <w:jc w:val="both"/>
        <w:rPr>
          <w:rFonts w:asciiTheme="majorBidi" w:hAnsiTheme="majorBidi" w:cstheme="majorBidi"/>
          <w:color w:val="auto"/>
          <w:sz w:val="22"/>
          <w:szCs w:val="22"/>
          <w:lang w:val="en-GB"/>
        </w:rPr>
      </w:pPr>
    </w:p>
    <w:p w14:paraId="52E68AA0" w14:textId="77777777" w:rsidR="00E56DA6" w:rsidRPr="001F791F" w:rsidRDefault="00E56DA6" w:rsidP="00661089">
      <w:pPr>
        <w:pStyle w:val="Default"/>
        <w:jc w:val="both"/>
        <w:rPr>
          <w:rFonts w:asciiTheme="majorBidi" w:hAnsiTheme="majorBidi" w:cstheme="majorBidi"/>
          <w:color w:val="auto"/>
          <w:sz w:val="22"/>
          <w:szCs w:val="22"/>
          <w:lang w:val="en-GB"/>
        </w:rPr>
      </w:pPr>
    </w:p>
    <w:p w14:paraId="1EFBC623"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 11: Do you have comments on section 5.2 –consideration of ESG risks in strategies and business models?</w:t>
      </w:r>
    </w:p>
    <w:p w14:paraId="2F4A5C18" w14:textId="77777777" w:rsidR="00E56DA6" w:rsidRPr="001F791F" w:rsidRDefault="00E56DA6" w:rsidP="00661089">
      <w:pPr>
        <w:pStyle w:val="Default"/>
        <w:jc w:val="both"/>
        <w:rPr>
          <w:rFonts w:asciiTheme="majorBidi" w:hAnsiTheme="majorBidi" w:cstheme="majorBidi"/>
          <w:color w:val="auto"/>
          <w:sz w:val="22"/>
          <w:szCs w:val="22"/>
          <w:lang w:val="en-GB"/>
        </w:rPr>
      </w:pPr>
    </w:p>
    <w:p w14:paraId="0AB7F83F" w14:textId="77777777" w:rsidR="00E56DA6" w:rsidRPr="001F791F" w:rsidRDefault="00E56DA6" w:rsidP="00661089">
      <w:pPr>
        <w:pStyle w:val="Default"/>
        <w:jc w:val="both"/>
        <w:rPr>
          <w:rFonts w:asciiTheme="majorBidi" w:hAnsiTheme="majorBidi" w:cstheme="majorBidi"/>
          <w:color w:val="auto"/>
          <w:sz w:val="22"/>
          <w:szCs w:val="22"/>
          <w:lang w:val="en-GB"/>
        </w:rPr>
      </w:pPr>
    </w:p>
    <w:p w14:paraId="3BECE6DC"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 12: Do you have comments on section 5.3 –consideration of ESG risks in risk appetite?</w:t>
      </w:r>
    </w:p>
    <w:p w14:paraId="02A82F33" w14:textId="77777777" w:rsidR="00E56DA6" w:rsidRPr="001F791F" w:rsidRDefault="00E56DA6" w:rsidP="00661089">
      <w:pPr>
        <w:pStyle w:val="Default"/>
        <w:jc w:val="both"/>
        <w:rPr>
          <w:rFonts w:asciiTheme="majorBidi" w:hAnsiTheme="majorBidi" w:cstheme="majorBidi"/>
          <w:color w:val="auto"/>
          <w:sz w:val="22"/>
          <w:szCs w:val="22"/>
          <w:lang w:val="en-GB"/>
        </w:rPr>
      </w:pPr>
    </w:p>
    <w:p w14:paraId="476660DE" w14:textId="77777777" w:rsidR="00E56DA6" w:rsidRPr="001F791F" w:rsidRDefault="00E56DA6" w:rsidP="00661089">
      <w:pPr>
        <w:pStyle w:val="Default"/>
        <w:jc w:val="both"/>
        <w:rPr>
          <w:rFonts w:asciiTheme="majorBidi" w:hAnsiTheme="majorBidi" w:cstheme="majorBidi"/>
          <w:color w:val="auto"/>
          <w:sz w:val="22"/>
          <w:szCs w:val="22"/>
          <w:lang w:val="en-GB"/>
        </w:rPr>
      </w:pPr>
    </w:p>
    <w:p w14:paraId="0A615DF7"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 13: Do you have comments on section 5.4 –consideration of ESG risks in internal culture, capabilities and controls?</w:t>
      </w:r>
    </w:p>
    <w:p w14:paraId="1628677F" w14:textId="77777777" w:rsidR="00E56DA6" w:rsidRPr="001F791F" w:rsidRDefault="00E56DA6" w:rsidP="00661089">
      <w:pPr>
        <w:pStyle w:val="Default"/>
        <w:jc w:val="both"/>
        <w:rPr>
          <w:rFonts w:asciiTheme="majorBidi" w:hAnsiTheme="majorBidi" w:cstheme="majorBidi"/>
          <w:color w:val="auto"/>
          <w:sz w:val="22"/>
          <w:szCs w:val="22"/>
          <w:lang w:val="en-GB"/>
        </w:rPr>
      </w:pPr>
    </w:p>
    <w:p w14:paraId="4181208E" w14:textId="77777777" w:rsidR="00E56DA6" w:rsidRPr="001F791F" w:rsidRDefault="00E56DA6" w:rsidP="00661089">
      <w:pPr>
        <w:pStyle w:val="Default"/>
        <w:jc w:val="both"/>
        <w:rPr>
          <w:rFonts w:asciiTheme="majorBidi" w:hAnsiTheme="majorBidi" w:cstheme="majorBidi"/>
          <w:color w:val="auto"/>
          <w:sz w:val="22"/>
          <w:szCs w:val="22"/>
          <w:lang w:val="en-GB"/>
        </w:rPr>
      </w:pPr>
    </w:p>
    <w:p w14:paraId="545E909D" w14:textId="77777777" w:rsidR="00E56DA6" w:rsidRPr="001F791F" w:rsidRDefault="00E56DA6" w:rsidP="00661089">
      <w:pPr>
        <w:pStyle w:val="Default"/>
        <w:jc w:val="both"/>
        <w:rPr>
          <w:rFonts w:asciiTheme="majorBidi" w:hAnsiTheme="majorBidi" w:cstheme="majorBidi"/>
          <w:b/>
          <w:bCs/>
          <w:color w:val="auto"/>
          <w:sz w:val="22"/>
          <w:szCs w:val="22"/>
          <w:lang w:val="en-GB"/>
        </w:rPr>
      </w:pPr>
      <w:r w:rsidRPr="001F791F">
        <w:rPr>
          <w:rFonts w:asciiTheme="majorBidi" w:hAnsiTheme="majorBidi" w:cstheme="majorBidi"/>
          <w:b/>
          <w:bCs/>
          <w:color w:val="auto"/>
          <w:sz w:val="22"/>
          <w:szCs w:val="22"/>
          <w:lang w:val="en-GB"/>
        </w:rPr>
        <w:t>Question 14: Do you have comments on section 5.5 –consideration of ESG risks in ICAAP and ILAAP?</w:t>
      </w:r>
    </w:p>
    <w:p w14:paraId="2C23107C" w14:textId="6E12C64F" w:rsidR="00E56DA6" w:rsidRPr="001F791F" w:rsidRDefault="00E56DA6" w:rsidP="00661089">
      <w:pPr>
        <w:pStyle w:val="Default"/>
        <w:jc w:val="both"/>
        <w:rPr>
          <w:rFonts w:asciiTheme="majorBidi" w:hAnsiTheme="majorBidi" w:cstheme="majorBidi"/>
          <w:color w:val="auto"/>
          <w:sz w:val="22"/>
          <w:szCs w:val="22"/>
          <w:lang w:val="en-GB"/>
        </w:rPr>
      </w:pPr>
    </w:p>
    <w:p w14:paraId="50EC011C" w14:textId="7412A999" w:rsidR="002D6802" w:rsidRPr="001F791F" w:rsidRDefault="006857CE" w:rsidP="00661089">
      <w:pPr>
        <w:pStyle w:val="Default"/>
        <w:jc w:val="both"/>
        <w:rPr>
          <w:rFonts w:asciiTheme="majorBidi" w:hAnsiTheme="majorBidi" w:cstheme="majorBidi"/>
          <w:color w:val="auto"/>
          <w:sz w:val="22"/>
          <w:szCs w:val="22"/>
          <w:lang w:val="en-GB"/>
        </w:rPr>
      </w:pPr>
      <w:r>
        <w:rPr>
          <w:rFonts w:asciiTheme="majorBidi" w:hAnsiTheme="majorBidi" w:cstheme="majorBidi"/>
          <w:color w:val="auto"/>
          <w:sz w:val="22"/>
          <w:szCs w:val="22"/>
          <w:lang w:val="en-GB"/>
        </w:rPr>
        <w:t>As far as applicable, i</w:t>
      </w:r>
      <w:r w:rsidR="002D6802" w:rsidRPr="001F791F">
        <w:rPr>
          <w:rFonts w:asciiTheme="majorBidi" w:hAnsiTheme="majorBidi" w:cstheme="majorBidi"/>
          <w:color w:val="auto"/>
          <w:sz w:val="22"/>
          <w:szCs w:val="22"/>
          <w:lang w:val="en-GB"/>
        </w:rPr>
        <w:t xml:space="preserve">ntegration of ESG  risks (to be checked on correct understanding) in ICAAP and ILAAP </w:t>
      </w:r>
      <w:r w:rsidR="00717818">
        <w:rPr>
          <w:rFonts w:asciiTheme="majorBidi" w:hAnsiTheme="majorBidi" w:cstheme="majorBidi"/>
          <w:color w:val="auto"/>
          <w:sz w:val="22"/>
          <w:szCs w:val="22"/>
          <w:lang w:val="en-GB"/>
        </w:rPr>
        <w:t>sh</w:t>
      </w:r>
      <w:r w:rsidR="002D6802" w:rsidRPr="001F791F">
        <w:rPr>
          <w:rFonts w:asciiTheme="majorBidi" w:hAnsiTheme="majorBidi" w:cstheme="majorBidi"/>
          <w:color w:val="auto"/>
          <w:sz w:val="22"/>
          <w:szCs w:val="22"/>
          <w:lang w:val="en-GB"/>
        </w:rPr>
        <w:t xml:space="preserve">ould only come after making progress on common understanding and reliability of data as a first step for a dedicated treatment of related exposures. From this perspective, transition plans, which the management bodies of institutions are  required to draw up </w:t>
      </w:r>
      <w:r w:rsidR="00717818" w:rsidRPr="001F791F">
        <w:rPr>
          <w:rFonts w:asciiTheme="majorBidi" w:hAnsiTheme="majorBidi" w:cstheme="majorBidi"/>
          <w:color w:val="auto"/>
          <w:sz w:val="22"/>
          <w:szCs w:val="22"/>
          <w:lang w:val="en-GB"/>
        </w:rPr>
        <w:t xml:space="preserve">following CRR </w:t>
      </w:r>
      <w:r w:rsidR="002D6802" w:rsidRPr="001F791F">
        <w:rPr>
          <w:rFonts w:asciiTheme="majorBidi" w:hAnsiTheme="majorBidi" w:cstheme="majorBidi"/>
          <w:color w:val="auto"/>
          <w:sz w:val="22"/>
          <w:szCs w:val="22"/>
          <w:lang w:val="en-GB"/>
        </w:rPr>
        <w:t>in order to deal with ESG risks, have full relevance.</w:t>
      </w:r>
    </w:p>
    <w:p w14:paraId="17B319C1" w14:textId="77777777" w:rsidR="00E56DA6" w:rsidRPr="001F791F" w:rsidRDefault="00E56DA6" w:rsidP="00661089">
      <w:pPr>
        <w:pStyle w:val="Default"/>
        <w:jc w:val="both"/>
        <w:rPr>
          <w:rFonts w:asciiTheme="majorBidi" w:hAnsiTheme="majorBidi" w:cstheme="majorBidi"/>
          <w:color w:val="auto"/>
          <w:sz w:val="22"/>
          <w:szCs w:val="22"/>
          <w:lang w:val="en-GB"/>
        </w:rPr>
      </w:pPr>
    </w:p>
    <w:p w14:paraId="5FA6843D" w14:textId="0B0150C4" w:rsidR="002D6802" w:rsidRPr="001F791F" w:rsidRDefault="002D6802"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 xml:space="preserve">A gradual and methodological approach </w:t>
      </w:r>
      <w:r w:rsidR="00717818">
        <w:rPr>
          <w:rFonts w:asciiTheme="majorBidi" w:hAnsiTheme="majorBidi" w:cstheme="majorBidi"/>
          <w:color w:val="auto"/>
          <w:sz w:val="22"/>
          <w:szCs w:val="22"/>
          <w:lang w:val="en-GB"/>
        </w:rPr>
        <w:t>is preferable over</w:t>
      </w:r>
      <w:r w:rsidRPr="001F791F">
        <w:rPr>
          <w:rFonts w:asciiTheme="majorBidi" w:hAnsiTheme="majorBidi" w:cstheme="majorBidi"/>
          <w:color w:val="auto"/>
          <w:sz w:val="22"/>
          <w:szCs w:val="22"/>
          <w:lang w:val="en-GB"/>
        </w:rPr>
        <w:t xml:space="preserve"> setting </w:t>
      </w:r>
      <w:r w:rsidR="00717818">
        <w:rPr>
          <w:rFonts w:asciiTheme="majorBidi" w:hAnsiTheme="majorBidi" w:cstheme="majorBidi"/>
          <w:color w:val="auto"/>
          <w:sz w:val="22"/>
          <w:szCs w:val="22"/>
          <w:lang w:val="en-GB"/>
        </w:rPr>
        <w:t xml:space="preserve">(fixed) </w:t>
      </w:r>
      <w:r w:rsidRPr="001F791F">
        <w:rPr>
          <w:rFonts w:asciiTheme="majorBidi" w:hAnsiTheme="majorBidi" w:cstheme="majorBidi"/>
          <w:color w:val="auto"/>
          <w:sz w:val="22"/>
          <w:szCs w:val="22"/>
          <w:lang w:val="en-GB"/>
        </w:rPr>
        <w:t>parameters and metrics</w:t>
      </w:r>
      <w:r w:rsidR="0017757E" w:rsidRPr="001F791F">
        <w:rPr>
          <w:rFonts w:asciiTheme="majorBidi" w:hAnsiTheme="majorBidi" w:cstheme="majorBidi"/>
          <w:color w:val="auto"/>
          <w:sz w:val="22"/>
          <w:szCs w:val="22"/>
          <w:lang w:val="en-GB"/>
        </w:rPr>
        <w:t xml:space="preserve">, in any case with specific consideration for institutions </w:t>
      </w:r>
      <w:r w:rsidR="002C13DF" w:rsidRPr="001F791F">
        <w:rPr>
          <w:rFonts w:asciiTheme="majorBidi" w:hAnsiTheme="majorBidi" w:cstheme="majorBidi"/>
          <w:color w:val="auto"/>
          <w:sz w:val="22"/>
          <w:szCs w:val="22"/>
          <w:lang w:val="en-GB"/>
        </w:rPr>
        <w:t xml:space="preserve">dedicated to </w:t>
      </w:r>
      <w:r w:rsidR="00717818">
        <w:rPr>
          <w:rFonts w:asciiTheme="majorBidi" w:hAnsiTheme="majorBidi" w:cstheme="majorBidi"/>
          <w:color w:val="auto"/>
          <w:sz w:val="22"/>
          <w:szCs w:val="22"/>
          <w:lang w:val="en-GB"/>
        </w:rPr>
        <w:t xml:space="preserve">providing </w:t>
      </w:r>
      <w:r w:rsidR="002C13DF" w:rsidRPr="001F791F">
        <w:rPr>
          <w:rFonts w:asciiTheme="majorBidi" w:hAnsiTheme="majorBidi" w:cstheme="majorBidi"/>
          <w:color w:val="auto"/>
          <w:sz w:val="22"/>
          <w:szCs w:val="22"/>
          <w:lang w:val="en-GB"/>
        </w:rPr>
        <w:t>short term funding.</w:t>
      </w:r>
    </w:p>
    <w:p w14:paraId="3E9BB162" w14:textId="77777777" w:rsidR="002D6802" w:rsidRPr="001F791F" w:rsidRDefault="002D6802" w:rsidP="00661089">
      <w:pPr>
        <w:pStyle w:val="Default"/>
        <w:jc w:val="both"/>
        <w:rPr>
          <w:rFonts w:asciiTheme="majorBidi" w:hAnsiTheme="majorBidi" w:cstheme="majorBidi"/>
          <w:color w:val="auto"/>
          <w:sz w:val="22"/>
          <w:szCs w:val="22"/>
          <w:lang w:val="en-GB"/>
        </w:rPr>
      </w:pPr>
    </w:p>
    <w:p w14:paraId="4ADEC69A"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 15: Do you have comments on section 5.6 –consideration of ESG risks in credit risk policies and procedures?</w:t>
      </w:r>
    </w:p>
    <w:p w14:paraId="26510F9A" w14:textId="77777777" w:rsidR="00E56DA6" w:rsidRPr="001F791F" w:rsidRDefault="00E56DA6" w:rsidP="00661089">
      <w:pPr>
        <w:pStyle w:val="Default"/>
        <w:jc w:val="both"/>
        <w:rPr>
          <w:rFonts w:asciiTheme="majorBidi" w:hAnsiTheme="majorBidi" w:cstheme="majorBidi"/>
          <w:color w:val="auto"/>
          <w:sz w:val="22"/>
          <w:szCs w:val="22"/>
          <w:lang w:val="en-GB"/>
        </w:rPr>
      </w:pPr>
    </w:p>
    <w:p w14:paraId="69210794" w14:textId="77777777" w:rsidR="00E56DA6" w:rsidRPr="001F791F" w:rsidRDefault="00E56DA6" w:rsidP="00661089">
      <w:pPr>
        <w:pStyle w:val="Default"/>
        <w:jc w:val="both"/>
        <w:rPr>
          <w:rFonts w:asciiTheme="majorBidi" w:hAnsiTheme="majorBidi" w:cstheme="majorBidi"/>
          <w:color w:val="auto"/>
          <w:sz w:val="22"/>
          <w:szCs w:val="22"/>
          <w:lang w:val="en-GB"/>
        </w:rPr>
      </w:pPr>
    </w:p>
    <w:p w14:paraId="5F75ED8A"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 16: Do you have comments on section 5.7 –consideration of ESG risks in policies and procedures for market, liquidity and funding, operational, reputational and concentration risks?</w:t>
      </w:r>
    </w:p>
    <w:p w14:paraId="55C3B3A3" w14:textId="77777777" w:rsidR="00E56DA6" w:rsidRPr="001F791F" w:rsidRDefault="00E56DA6" w:rsidP="00661089">
      <w:pPr>
        <w:pStyle w:val="Default"/>
        <w:jc w:val="both"/>
        <w:rPr>
          <w:rFonts w:asciiTheme="majorBidi" w:hAnsiTheme="majorBidi" w:cstheme="majorBidi"/>
          <w:color w:val="auto"/>
          <w:sz w:val="22"/>
          <w:szCs w:val="22"/>
          <w:lang w:val="en-GB"/>
        </w:rPr>
      </w:pPr>
    </w:p>
    <w:p w14:paraId="5E42E8A5" w14:textId="77777777" w:rsidR="00E56DA6" w:rsidRPr="001F791F" w:rsidRDefault="00E56DA6" w:rsidP="00661089">
      <w:pPr>
        <w:pStyle w:val="Default"/>
        <w:jc w:val="both"/>
        <w:rPr>
          <w:rFonts w:asciiTheme="majorBidi" w:hAnsiTheme="majorBidi" w:cstheme="majorBidi"/>
          <w:color w:val="auto"/>
          <w:sz w:val="22"/>
          <w:szCs w:val="22"/>
          <w:lang w:val="en-GB"/>
        </w:rPr>
      </w:pPr>
    </w:p>
    <w:p w14:paraId="17DE8622" w14:textId="4A26C10A" w:rsidR="00E56DA6" w:rsidRPr="001F791F" w:rsidRDefault="00E56DA6" w:rsidP="00661089">
      <w:pPr>
        <w:spacing w:after="0" w:line="240" w:lineRule="auto"/>
        <w:jc w:val="both"/>
        <w:rPr>
          <w:rFonts w:asciiTheme="majorBidi" w:hAnsiTheme="majorBidi" w:cstheme="majorBidi"/>
          <w:b/>
          <w:bCs/>
          <w:sz w:val="22"/>
          <w:szCs w:val="22"/>
          <w:lang w:val="en-GB"/>
        </w:rPr>
      </w:pPr>
      <w:r w:rsidRPr="001F791F">
        <w:rPr>
          <w:rFonts w:asciiTheme="majorBidi" w:hAnsiTheme="majorBidi" w:cstheme="majorBidi"/>
          <w:b/>
          <w:bCs/>
          <w:sz w:val="22"/>
          <w:szCs w:val="22"/>
          <w:lang w:val="en-GB"/>
        </w:rPr>
        <w:t>Question 17: Do you have comments on section 5.8 –monitoring of ESG risks?</w:t>
      </w:r>
    </w:p>
    <w:p w14:paraId="3D29FAEA" w14:textId="77777777" w:rsidR="00E56DA6" w:rsidRPr="00AE6227" w:rsidRDefault="00E56DA6" w:rsidP="00661089">
      <w:pPr>
        <w:spacing w:after="0" w:line="240" w:lineRule="auto"/>
        <w:jc w:val="both"/>
        <w:rPr>
          <w:rFonts w:asciiTheme="majorBidi" w:hAnsiTheme="majorBidi" w:cstheme="majorBidi"/>
          <w:sz w:val="22"/>
          <w:szCs w:val="22"/>
          <w:lang w:val="en-GB"/>
        </w:rPr>
      </w:pPr>
    </w:p>
    <w:p w14:paraId="3484C691" w14:textId="77777777" w:rsidR="00962EAD" w:rsidRPr="001F791F" w:rsidRDefault="00962EAD" w:rsidP="00661089">
      <w:pPr>
        <w:pStyle w:val="Default"/>
        <w:jc w:val="both"/>
        <w:rPr>
          <w:rFonts w:asciiTheme="majorBidi" w:hAnsiTheme="majorBidi" w:cstheme="majorBidi"/>
          <w:color w:val="auto"/>
          <w:sz w:val="22"/>
          <w:szCs w:val="22"/>
          <w:lang w:val="en-GB"/>
        </w:rPr>
      </w:pPr>
    </w:p>
    <w:p w14:paraId="72A9A5A4" w14:textId="77777777" w:rsidR="007008BE" w:rsidRPr="007008BE" w:rsidRDefault="007008BE" w:rsidP="00761D0E">
      <w:pPr>
        <w:pStyle w:val="Default"/>
        <w:jc w:val="both"/>
        <w:rPr>
          <w:rFonts w:asciiTheme="majorBidi" w:hAnsiTheme="majorBidi" w:cstheme="majorBidi"/>
          <w:color w:val="auto"/>
          <w:sz w:val="22"/>
          <w:szCs w:val="22"/>
          <w:lang w:val="en-GB"/>
        </w:rPr>
      </w:pPr>
      <w:r w:rsidRPr="007008BE">
        <w:rPr>
          <w:rFonts w:asciiTheme="majorBidi" w:hAnsiTheme="majorBidi" w:cstheme="majorBidi"/>
          <w:color w:val="auto"/>
          <w:sz w:val="22"/>
          <w:szCs w:val="22"/>
          <w:lang w:val="en-GB"/>
        </w:rPr>
        <w:t>The wording for SNCIs is unclear/seems to be missing elements.</w:t>
      </w:r>
    </w:p>
    <w:p w14:paraId="71448035" w14:textId="77777777" w:rsidR="007008BE" w:rsidRPr="007008BE" w:rsidRDefault="007008BE" w:rsidP="00761D0E">
      <w:pPr>
        <w:pStyle w:val="Default"/>
        <w:jc w:val="both"/>
        <w:rPr>
          <w:rFonts w:asciiTheme="majorBidi" w:hAnsiTheme="majorBidi" w:cstheme="majorBidi"/>
          <w:color w:val="auto"/>
          <w:sz w:val="22"/>
          <w:szCs w:val="22"/>
          <w:lang w:val="en-GB"/>
        </w:rPr>
      </w:pPr>
      <w:r w:rsidRPr="007008BE">
        <w:rPr>
          <w:rFonts w:asciiTheme="majorBidi" w:hAnsiTheme="majorBidi" w:cstheme="majorBidi"/>
          <w:color w:val="auto"/>
          <w:sz w:val="22"/>
          <w:szCs w:val="22"/>
          <w:lang w:val="en-GB"/>
        </w:rPr>
        <w:t>ESG risks should not be considered as a new risk category but as part of the already existing risk categories such as op risk or credit risk. Hence, ESG risks (and their monitoring) can and should be incorporated into these risk management elements, and in a proportionate manner, depending on the company’s/institution’s size, product/form of financing, etc. Prudential requirements are aimed at ensuring stability in the financial industry, whereas some of the (quite detailed and hence generally not proportionate) ESG risk metrics listed in para. 72 seem to be aimed more at limiting exposures to e.g. GHG-emission- prone businesses for political reasons regarding e.g. climate change. Supervisory and prudential requirements on ESG risks should not be mixed up with political ESG-related goals.</w:t>
      </w:r>
    </w:p>
    <w:p w14:paraId="121C15E6" w14:textId="6BF7665D" w:rsidR="00962EAD" w:rsidRPr="001F791F" w:rsidRDefault="007008BE" w:rsidP="00761D0E">
      <w:pPr>
        <w:pStyle w:val="Default"/>
        <w:jc w:val="both"/>
        <w:rPr>
          <w:rFonts w:asciiTheme="majorBidi" w:hAnsiTheme="majorBidi" w:cstheme="majorBidi"/>
          <w:color w:val="auto"/>
          <w:sz w:val="22"/>
          <w:szCs w:val="22"/>
          <w:lang w:val="en-GB"/>
        </w:rPr>
      </w:pPr>
      <w:r w:rsidRPr="007008BE">
        <w:rPr>
          <w:rFonts w:asciiTheme="majorBidi" w:hAnsiTheme="majorBidi" w:cstheme="majorBidi"/>
          <w:color w:val="auto"/>
          <w:sz w:val="22"/>
          <w:szCs w:val="22"/>
          <w:lang w:val="en-GB"/>
        </w:rPr>
        <w:t>Para. 94 is assessed similarly (see question 20). Moreover, the limited availability of ESG related data (in particular from SMEs) needs to be taken into account better.</w:t>
      </w:r>
    </w:p>
    <w:p w14:paraId="1CBDE273" w14:textId="77777777" w:rsidR="00962EAD" w:rsidRDefault="00962EAD" w:rsidP="00661089">
      <w:pPr>
        <w:pStyle w:val="Default"/>
        <w:jc w:val="both"/>
        <w:rPr>
          <w:rFonts w:asciiTheme="majorBidi" w:hAnsiTheme="majorBidi" w:cstheme="majorBidi"/>
          <w:color w:val="auto"/>
          <w:sz w:val="22"/>
          <w:szCs w:val="22"/>
          <w:lang w:val="en-GB"/>
        </w:rPr>
      </w:pPr>
    </w:p>
    <w:p w14:paraId="7D9DA1EE" w14:textId="77777777" w:rsidR="005C6EC4" w:rsidRPr="001F791F" w:rsidRDefault="005C6EC4" w:rsidP="00661089">
      <w:pPr>
        <w:pStyle w:val="Default"/>
        <w:jc w:val="both"/>
        <w:rPr>
          <w:rFonts w:asciiTheme="majorBidi" w:hAnsiTheme="majorBidi" w:cstheme="majorBidi"/>
          <w:color w:val="auto"/>
          <w:sz w:val="22"/>
          <w:szCs w:val="22"/>
          <w:lang w:val="en-GB"/>
        </w:rPr>
      </w:pPr>
    </w:p>
    <w:p w14:paraId="43BE6A33" w14:textId="77777777" w:rsidR="00E56DA6" w:rsidRPr="001F791F" w:rsidRDefault="00E56DA6" w:rsidP="00661089">
      <w:pPr>
        <w:pStyle w:val="Default"/>
        <w:jc w:val="both"/>
        <w:rPr>
          <w:rFonts w:asciiTheme="majorBidi" w:hAnsiTheme="majorBidi" w:cstheme="majorBidi"/>
          <w:b/>
          <w:bCs/>
          <w:color w:val="auto"/>
          <w:sz w:val="22"/>
          <w:szCs w:val="22"/>
          <w:lang w:val="en-GB"/>
        </w:rPr>
      </w:pPr>
      <w:r w:rsidRPr="001F791F">
        <w:rPr>
          <w:rFonts w:asciiTheme="majorBidi" w:hAnsiTheme="majorBidi" w:cstheme="majorBidi"/>
          <w:b/>
          <w:bCs/>
          <w:color w:val="auto"/>
          <w:sz w:val="22"/>
          <w:szCs w:val="22"/>
          <w:lang w:val="en-GB"/>
        </w:rPr>
        <w:t>Question 18: Do you have comments on the key principles set by the guidelines for plans in accordance with Article 76(2) of the CRD?</w:t>
      </w:r>
    </w:p>
    <w:p w14:paraId="414BB23F" w14:textId="77777777" w:rsidR="00E56DA6" w:rsidRPr="001F791F" w:rsidRDefault="00E56DA6" w:rsidP="00661089">
      <w:pPr>
        <w:pStyle w:val="Default"/>
        <w:jc w:val="both"/>
        <w:rPr>
          <w:rFonts w:asciiTheme="majorBidi" w:hAnsiTheme="majorBidi" w:cstheme="majorBidi"/>
          <w:color w:val="auto"/>
          <w:sz w:val="22"/>
          <w:szCs w:val="22"/>
          <w:lang w:val="en-GB"/>
        </w:rPr>
      </w:pPr>
    </w:p>
    <w:p w14:paraId="357BE7BE" w14:textId="510E9577" w:rsidR="00A61FDC" w:rsidRPr="001F791F" w:rsidRDefault="00A61FDC" w:rsidP="00D519C7">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 xml:space="preserve">Parag 76 provides for sequencing </w:t>
      </w:r>
      <w:r w:rsidR="00725BC5" w:rsidRPr="001F791F">
        <w:rPr>
          <w:rFonts w:asciiTheme="majorBidi" w:hAnsiTheme="majorBidi" w:cstheme="majorBidi"/>
          <w:color w:val="auto"/>
          <w:sz w:val="22"/>
          <w:szCs w:val="22"/>
          <w:lang w:val="en-GB"/>
        </w:rPr>
        <w:t>environment</w:t>
      </w:r>
      <w:r w:rsidR="00B01054" w:rsidRPr="001F791F">
        <w:rPr>
          <w:rFonts w:asciiTheme="majorBidi" w:hAnsiTheme="majorBidi" w:cstheme="majorBidi"/>
          <w:color w:val="auto"/>
          <w:sz w:val="22"/>
          <w:szCs w:val="22"/>
          <w:lang w:val="en-GB"/>
        </w:rPr>
        <w:t xml:space="preserve"> risks in short, medium and long term risks.</w:t>
      </w:r>
    </w:p>
    <w:p w14:paraId="6A9ACB31" w14:textId="7D103F65" w:rsidR="00A61FDC" w:rsidRPr="001F791F" w:rsidRDefault="00B01054" w:rsidP="00D519C7">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 xml:space="preserve">It is to be noted </w:t>
      </w:r>
      <w:r w:rsidR="00725BC5" w:rsidRPr="001F791F">
        <w:rPr>
          <w:rFonts w:asciiTheme="majorBidi" w:hAnsiTheme="majorBidi" w:cstheme="majorBidi"/>
          <w:color w:val="auto"/>
          <w:sz w:val="22"/>
          <w:szCs w:val="22"/>
          <w:lang w:val="en-GB"/>
        </w:rPr>
        <w:t>that factoring is dedicated only to short term funding.</w:t>
      </w:r>
    </w:p>
    <w:p w14:paraId="57C2D817" w14:textId="77777777" w:rsidR="00B01054" w:rsidRPr="001F791F" w:rsidRDefault="00B01054" w:rsidP="00D519C7">
      <w:pPr>
        <w:pStyle w:val="Default"/>
        <w:jc w:val="both"/>
        <w:rPr>
          <w:rFonts w:asciiTheme="majorBidi" w:hAnsiTheme="majorBidi" w:cstheme="majorBidi"/>
          <w:color w:val="auto"/>
          <w:sz w:val="22"/>
          <w:szCs w:val="22"/>
          <w:lang w:val="en-GB"/>
        </w:rPr>
      </w:pPr>
    </w:p>
    <w:p w14:paraId="47CC4088" w14:textId="77777777" w:rsidR="00B01054" w:rsidRPr="001F791F" w:rsidRDefault="00B01054" w:rsidP="00D519C7">
      <w:pPr>
        <w:pStyle w:val="Default"/>
        <w:jc w:val="both"/>
        <w:rPr>
          <w:rFonts w:asciiTheme="majorBidi" w:hAnsiTheme="majorBidi" w:cstheme="majorBidi"/>
          <w:color w:val="auto"/>
          <w:sz w:val="22"/>
          <w:szCs w:val="22"/>
          <w:lang w:val="en-GB"/>
        </w:rPr>
      </w:pPr>
    </w:p>
    <w:p w14:paraId="7AFCFC3E" w14:textId="2E04D06D" w:rsidR="00E56DA6" w:rsidRPr="001F791F" w:rsidRDefault="00EA0A8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w:t>
      </w:r>
      <w:r w:rsidR="00E56DA6" w:rsidRPr="001F791F">
        <w:rPr>
          <w:rFonts w:asciiTheme="majorBidi" w:hAnsiTheme="majorBidi" w:cstheme="majorBidi"/>
          <w:color w:val="auto"/>
          <w:sz w:val="22"/>
          <w:szCs w:val="22"/>
          <w:lang w:val="en-GB"/>
        </w:rPr>
        <w:t xml:space="preserve"> 19: Do you have comments on section 6.2 –governance of plans required by the CRD?</w:t>
      </w:r>
    </w:p>
    <w:p w14:paraId="2F4BA506" w14:textId="77777777" w:rsidR="00E56DA6" w:rsidRPr="001F791F" w:rsidRDefault="00E56DA6" w:rsidP="00661089">
      <w:pPr>
        <w:pStyle w:val="Default"/>
        <w:jc w:val="both"/>
        <w:rPr>
          <w:rFonts w:asciiTheme="majorBidi" w:hAnsiTheme="majorBidi" w:cstheme="majorBidi"/>
          <w:color w:val="auto"/>
          <w:sz w:val="22"/>
          <w:szCs w:val="22"/>
          <w:lang w:val="en-GB"/>
        </w:rPr>
      </w:pPr>
    </w:p>
    <w:p w14:paraId="0BCB2C25" w14:textId="77777777" w:rsidR="00E56DA6" w:rsidRPr="001F791F" w:rsidRDefault="00E56DA6" w:rsidP="00661089">
      <w:pPr>
        <w:pStyle w:val="Default"/>
        <w:jc w:val="both"/>
        <w:rPr>
          <w:rFonts w:asciiTheme="majorBidi" w:hAnsiTheme="majorBidi" w:cstheme="majorBidi"/>
          <w:color w:val="auto"/>
          <w:sz w:val="22"/>
          <w:szCs w:val="22"/>
          <w:lang w:val="en-GB"/>
        </w:rPr>
      </w:pPr>
    </w:p>
    <w:p w14:paraId="5665CEEF" w14:textId="77777777" w:rsidR="00E56DA6" w:rsidRPr="001F791F" w:rsidRDefault="00E56DA6" w:rsidP="00661089">
      <w:pPr>
        <w:pStyle w:val="Default"/>
        <w:jc w:val="both"/>
        <w:rPr>
          <w:rFonts w:asciiTheme="majorBidi" w:hAnsiTheme="majorBidi" w:cstheme="majorBidi"/>
          <w:b/>
          <w:bCs/>
          <w:color w:val="auto"/>
          <w:sz w:val="22"/>
          <w:szCs w:val="22"/>
          <w:lang w:val="en-GB"/>
        </w:rPr>
      </w:pPr>
      <w:r w:rsidRPr="001F791F">
        <w:rPr>
          <w:rFonts w:asciiTheme="majorBidi" w:hAnsiTheme="majorBidi" w:cstheme="majorBidi"/>
          <w:b/>
          <w:bCs/>
          <w:color w:val="auto"/>
          <w:sz w:val="22"/>
          <w:szCs w:val="22"/>
          <w:lang w:val="en-GB"/>
        </w:rPr>
        <w:t>Question 20: Do you have comments on the metrics and targets to be used by institutions as part of the plans required by the CRD? Do you have suggestions for other alternative or additional metrics?</w:t>
      </w:r>
    </w:p>
    <w:p w14:paraId="022BF8DA" w14:textId="77777777" w:rsidR="005C6EC4" w:rsidRDefault="005C6EC4" w:rsidP="00661089">
      <w:pPr>
        <w:pStyle w:val="Default"/>
        <w:jc w:val="both"/>
        <w:rPr>
          <w:rFonts w:asciiTheme="majorBidi" w:hAnsiTheme="majorBidi" w:cstheme="majorBidi"/>
          <w:color w:val="auto"/>
          <w:sz w:val="22"/>
          <w:szCs w:val="22"/>
          <w:lang w:val="en-GB"/>
        </w:rPr>
      </w:pPr>
    </w:p>
    <w:p w14:paraId="55EB62A4" w14:textId="77777777" w:rsidR="00076624" w:rsidRPr="00076624" w:rsidRDefault="00076624" w:rsidP="00076624">
      <w:pPr>
        <w:pStyle w:val="Default"/>
        <w:rPr>
          <w:rFonts w:asciiTheme="majorBidi" w:hAnsiTheme="majorBidi" w:cstheme="majorBidi"/>
          <w:color w:val="auto"/>
          <w:sz w:val="22"/>
          <w:szCs w:val="22"/>
          <w:lang w:val="en-GB"/>
        </w:rPr>
      </w:pPr>
      <w:r w:rsidRPr="00076624">
        <w:rPr>
          <w:rFonts w:asciiTheme="majorBidi" w:hAnsiTheme="majorBidi" w:cstheme="majorBidi"/>
          <w:color w:val="auto"/>
          <w:sz w:val="22"/>
          <w:szCs w:val="22"/>
          <w:lang w:val="en-GB"/>
        </w:rPr>
        <w:t>The wording for SNCIs is unclear/seems to be missing elements.</w:t>
      </w:r>
    </w:p>
    <w:p w14:paraId="44A4B938" w14:textId="4234180D" w:rsidR="005C6EC4" w:rsidRPr="001F791F" w:rsidRDefault="00076624" w:rsidP="00076624">
      <w:pPr>
        <w:pStyle w:val="Default"/>
        <w:jc w:val="both"/>
        <w:rPr>
          <w:rFonts w:asciiTheme="majorBidi" w:hAnsiTheme="majorBidi" w:cstheme="majorBidi"/>
          <w:color w:val="auto"/>
          <w:sz w:val="22"/>
          <w:szCs w:val="22"/>
          <w:lang w:val="en-GB"/>
        </w:rPr>
      </w:pPr>
      <w:r w:rsidRPr="00076624">
        <w:rPr>
          <w:rFonts w:asciiTheme="majorBidi" w:hAnsiTheme="majorBidi" w:cstheme="majorBidi"/>
          <w:color w:val="auto"/>
          <w:sz w:val="22"/>
          <w:szCs w:val="22"/>
          <w:lang w:val="en-GB"/>
        </w:rPr>
        <w:t>As already stated in response to question 17, supervisory and prudential requirements on ESG risks should not be mixed up with political ESG-related goals. However, the indicators listed in para. 94 give the impression of the latter, e.g. by naming income shares « related to business with counterparties operating in sectors that highly contribute to climate change » as one of these indicators for setting targets. Moreover, the limited availability of ESG related data (in particular from SMEs) needs to be taken into account better.</w:t>
      </w:r>
    </w:p>
    <w:p w14:paraId="17FA56D5" w14:textId="77777777" w:rsidR="00E21AA3" w:rsidRPr="001F791F" w:rsidRDefault="00E21AA3" w:rsidP="00661089">
      <w:pPr>
        <w:pStyle w:val="Default"/>
        <w:jc w:val="both"/>
        <w:rPr>
          <w:rFonts w:asciiTheme="majorBidi" w:hAnsiTheme="majorBidi" w:cstheme="majorBidi"/>
          <w:color w:val="auto"/>
          <w:sz w:val="22"/>
          <w:szCs w:val="22"/>
          <w:lang w:val="en-GB"/>
        </w:rPr>
      </w:pPr>
    </w:p>
    <w:p w14:paraId="1AC07CC5"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 xml:space="preserve">Question 21: Do you have comments on the climate and environmental scenarios and pathways that institutions should define </w:t>
      </w:r>
      <w:proofErr w:type="spellStart"/>
      <w:r w:rsidRPr="001F791F">
        <w:rPr>
          <w:rFonts w:asciiTheme="majorBidi" w:hAnsiTheme="majorBidi" w:cstheme="majorBidi"/>
          <w:color w:val="auto"/>
          <w:sz w:val="22"/>
          <w:szCs w:val="22"/>
          <w:lang w:val="en-GB"/>
        </w:rPr>
        <w:t>andselect</w:t>
      </w:r>
      <w:proofErr w:type="spellEnd"/>
      <w:r w:rsidRPr="001F791F">
        <w:rPr>
          <w:rFonts w:asciiTheme="majorBidi" w:hAnsiTheme="majorBidi" w:cstheme="majorBidi"/>
          <w:color w:val="auto"/>
          <w:sz w:val="22"/>
          <w:szCs w:val="22"/>
          <w:lang w:val="en-GB"/>
        </w:rPr>
        <w:t xml:space="preserve"> as part of the plans required by the CRD?</w:t>
      </w:r>
    </w:p>
    <w:p w14:paraId="0DFFCBF7" w14:textId="77777777" w:rsidR="00E56DA6" w:rsidRPr="001F791F" w:rsidRDefault="00E56DA6" w:rsidP="00661089">
      <w:pPr>
        <w:pStyle w:val="Default"/>
        <w:jc w:val="both"/>
        <w:rPr>
          <w:rFonts w:asciiTheme="majorBidi" w:hAnsiTheme="majorBidi" w:cstheme="majorBidi"/>
          <w:color w:val="auto"/>
          <w:sz w:val="22"/>
          <w:szCs w:val="22"/>
          <w:lang w:val="en-GB"/>
        </w:rPr>
      </w:pPr>
    </w:p>
    <w:p w14:paraId="285FC84D" w14:textId="77777777" w:rsidR="00E56DA6" w:rsidRPr="001F791F" w:rsidRDefault="00E56DA6" w:rsidP="00661089">
      <w:pPr>
        <w:pStyle w:val="Default"/>
        <w:jc w:val="both"/>
        <w:rPr>
          <w:rFonts w:asciiTheme="majorBidi" w:hAnsiTheme="majorBidi" w:cstheme="majorBidi"/>
          <w:color w:val="auto"/>
          <w:sz w:val="22"/>
          <w:szCs w:val="22"/>
          <w:lang w:val="en-GB"/>
        </w:rPr>
      </w:pPr>
    </w:p>
    <w:p w14:paraId="657F5227" w14:textId="77777777" w:rsidR="00E56DA6" w:rsidRPr="001F791F" w:rsidRDefault="00E56DA6"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Question 22: Do you have comments on section 6.5 –transition planning?</w:t>
      </w:r>
    </w:p>
    <w:p w14:paraId="2E7A1714" w14:textId="77777777" w:rsidR="00E56DA6" w:rsidRPr="001F791F" w:rsidRDefault="00E56DA6" w:rsidP="00661089">
      <w:pPr>
        <w:pStyle w:val="Default"/>
        <w:jc w:val="both"/>
        <w:rPr>
          <w:rFonts w:asciiTheme="majorBidi" w:hAnsiTheme="majorBidi" w:cstheme="majorBidi"/>
          <w:color w:val="auto"/>
          <w:sz w:val="22"/>
          <w:szCs w:val="22"/>
          <w:lang w:val="en-GB"/>
        </w:rPr>
      </w:pPr>
    </w:p>
    <w:p w14:paraId="131C4A47" w14:textId="77777777" w:rsidR="00E56DA6" w:rsidRPr="001F791F" w:rsidRDefault="00E56DA6" w:rsidP="00661089">
      <w:pPr>
        <w:pStyle w:val="Default"/>
        <w:jc w:val="both"/>
        <w:rPr>
          <w:rFonts w:asciiTheme="majorBidi" w:hAnsiTheme="majorBidi" w:cstheme="majorBidi"/>
          <w:color w:val="auto"/>
          <w:sz w:val="22"/>
          <w:szCs w:val="22"/>
          <w:lang w:val="en-GB"/>
        </w:rPr>
      </w:pPr>
    </w:p>
    <w:p w14:paraId="607F9209" w14:textId="77777777" w:rsidR="00E56DA6" w:rsidRPr="001F791F" w:rsidRDefault="00E56DA6" w:rsidP="00661089">
      <w:pPr>
        <w:pStyle w:val="Default"/>
        <w:jc w:val="both"/>
        <w:rPr>
          <w:rFonts w:asciiTheme="majorBidi" w:hAnsiTheme="majorBidi" w:cstheme="majorBidi"/>
          <w:b/>
          <w:bCs/>
          <w:color w:val="auto"/>
          <w:sz w:val="22"/>
          <w:szCs w:val="22"/>
          <w:lang w:val="en-GB"/>
        </w:rPr>
      </w:pPr>
      <w:r w:rsidRPr="001F791F">
        <w:rPr>
          <w:rFonts w:asciiTheme="majorBidi" w:hAnsiTheme="majorBidi" w:cstheme="majorBidi"/>
          <w:b/>
          <w:bCs/>
          <w:color w:val="auto"/>
          <w:sz w:val="22"/>
          <w:szCs w:val="22"/>
          <w:lang w:val="en-GB"/>
        </w:rPr>
        <w:t>Question 23: Do you think the guidelines have the right level of granularity for the plans required by the CRD? In particular, do you think the guidelines should provide more detailed requirements?</w:t>
      </w:r>
    </w:p>
    <w:p w14:paraId="05030A58" w14:textId="77777777" w:rsidR="00E56DA6" w:rsidRPr="001F791F" w:rsidRDefault="00E56DA6" w:rsidP="00661089">
      <w:pPr>
        <w:pStyle w:val="Default"/>
        <w:jc w:val="both"/>
        <w:rPr>
          <w:rFonts w:asciiTheme="majorBidi" w:hAnsiTheme="majorBidi" w:cstheme="majorBidi"/>
          <w:color w:val="auto"/>
          <w:sz w:val="22"/>
          <w:szCs w:val="22"/>
          <w:lang w:val="en-GB"/>
        </w:rPr>
      </w:pPr>
    </w:p>
    <w:p w14:paraId="0E8BC059" w14:textId="65561140" w:rsidR="00E21AA3" w:rsidRPr="001F791F" w:rsidRDefault="00E21AA3"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 xml:space="preserve">Things currently being as they are, a principle based approach should be privileged in order not to take a wrong direction and not to over-burden the institutions </w:t>
      </w:r>
      <w:r w:rsidR="00E34582" w:rsidRPr="001F791F">
        <w:rPr>
          <w:rFonts w:asciiTheme="majorBidi" w:hAnsiTheme="majorBidi" w:cstheme="majorBidi"/>
          <w:color w:val="auto"/>
          <w:sz w:val="22"/>
          <w:szCs w:val="22"/>
          <w:lang w:val="en-GB"/>
        </w:rPr>
        <w:t>in reporting and monitoring.</w:t>
      </w:r>
    </w:p>
    <w:p w14:paraId="14D7FF18" w14:textId="59561E52" w:rsidR="00E34582" w:rsidRPr="001F791F" w:rsidRDefault="00E34582" w:rsidP="00661089">
      <w:pPr>
        <w:pStyle w:val="Default"/>
        <w:jc w:val="both"/>
        <w:rPr>
          <w:rFonts w:asciiTheme="majorBidi" w:hAnsiTheme="majorBidi" w:cstheme="majorBidi"/>
          <w:color w:val="auto"/>
          <w:sz w:val="22"/>
          <w:szCs w:val="22"/>
          <w:lang w:val="en-GB"/>
        </w:rPr>
      </w:pPr>
      <w:r w:rsidRPr="001F791F">
        <w:rPr>
          <w:rFonts w:asciiTheme="majorBidi" w:hAnsiTheme="majorBidi" w:cstheme="majorBidi"/>
          <w:color w:val="auto"/>
          <w:sz w:val="22"/>
          <w:szCs w:val="22"/>
          <w:lang w:val="en-GB"/>
        </w:rPr>
        <w:t xml:space="preserve">One must keep in mind that European institutions currently submitted to CRR should not be put at a disadvantage vis-à-vis </w:t>
      </w:r>
      <w:proofErr w:type="spellStart"/>
      <w:r w:rsidRPr="001F791F">
        <w:rPr>
          <w:rFonts w:asciiTheme="majorBidi" w:hAnsiTheme="majorBidi" w:cstheme="majorBidi"/>
          <w:color w:val="auto"/>
          <w:sz w:val="22"/>
          <w:szCs w:val="22"/>
          <w:lang w:val="en-GB"/>
        </w:rPr>
        <w:t>non EU</w:t>
      </w:r>
      <w:proofErr w:type="spellEnd"/>
      <w:r w:rsidRPr="001F791F">
        <w:rPr>
          <w:rFonts w:asciiTheme="majorBidi" w:hAnsiTheme="majorBidi" w:cstheme="majorBidi"/>
          <w:color w:val="auto"/>
          <w:sz w:val="22"/>
          <w:szCs w:val="22"/>
          <w:lang w:val="en-GB"/>
        </w:rPr>
        <w:t xml:space="preserve"> global competitors who could be subject to </w:t>
      </w:r>
      <w:r w:rsidR="005D6AC9" w:rsidRPr="001F791F">
        <w:rPr>
          <w:rFonts w:asciiTheme="majorBidi" w:hAnsiTheme="majorBidi" w:cstheme="majorBidi"/>
          <w:color w:val="auto"/>
          <w:sz w:val="22"/>
          <w:szCs w:val="22"/>
          <w:lang w:val="en-GB"/>
        </w:rPr>
        <w:t xml:space="preserve">looser regulation and use this advantage to </w:t>
      </w:r>
      <w:r w:rsidR="00D2037A" w:rsidRPr="001F791F">
        <w:rPr>
          <w:rFonts w:asciiTheme="majorBidi" w:hAnsiTheme="majorBidi" w:cstheme="majorBidi"/>
          <w:color w:val="auto"/>
          <w:sz w:val="22"/>
          <w:szCs w:val="22"/>
          <w:lang w:val="en-GB"/>
        </w:rPr>
        <w:t xml:space="preserve">unduly </w:t>
      </w:r>
      <w:r w:rsidR="005D6AC9" w:rsidRPr="001F791F">
        <w:rPr>
          <w:rFonts w:asciiTheme="majorBidi" w:hAnsiTheme="majorBidi" w:cstheme="majorBidi"/>
          <w:color w:val="auto"/>
          <w:sz w:val="22"/>
          <w:szCs w:val="22"/>
          <w:lang w:val="en-GB"/>
        </w:rPr>
        <w:t>gain market shares</w:t>
      </w:r>
      <w:r w:rsidR="00E703C3">
        <w:rPr>
          <w:rFonts w:asciiTheme="majorBidi" w:hAnsiTheme="majorBidi" w:cstheme="majorBidi"/>
          <w:color w:val="auto"/>
          <w:sz w:val="22"/>
          <w:szCs w:val="22"/>
          <w:lang w:val="en-GB"/>
        </w:rPr>
        <w:t xml:space="preserve"> – such a competitive disadvantage for European financial institutions is also disadvantageous to ESG compliance on a whole</w:t>
      </w:r>
      <w:r w:rsidR="00D2037A" w:rsidRPr="001F791F">
        <w:rPr>
          <w:rFonts w:asciiTheme="majorBidi" w:hAnsiTheme="majorBidi" w:cstheme="majorBidi"/>
          <w:color w:val="auto"/>
          <w:sz w:val="22"/>
          <w:szCs w:val="22"/>
          <w:lang w:val="en-GB"/>
        </w:rPr>
        <w:t>.</w:t>
      </w:r>
    </w:p>
    <w:p w14:paraId="17E22327" w14:textId="77777777" w:rsidR="00E34582" w:rsidRPr="001F791F" w:rsidRDefault="00E34582" w:rsidP="00661089">
      <w:pPr>
        <w:pStyle w:val="Default"/>
        <w:jc w:val="both"/>
        <w:rPr>
          <w:rFonts w:asciiTheme="majorBidi" w:hAnsiTheme="majorBidi" w:cstheme="majorBidi"/>
          <w:color w:val="auto"/>
          <w:sz w:val="22"/>
          <w:szCs w:val="22"/>
          <w:lang w:val="en-GB"/>
        </w:rPr>
      </w:pPr>
    </w:p>
    <w:p w14:paraId="03220308" w14:textId="77777777" w:rsidR="00E34582" w:rsidRPr="001F791F" w:rsidRDefault="00E34582" w:rsidP="00661089">
      <w:pPr>
        <w:pStyle w:val="Default"/>
        <w:jc w:val="both"/>
        <w:rPr>
          <w:rFonts w:asciiTheme="majorBidi" w:hAnsiTheme="majorBidi" w:cstheme="majorBidi"/>
          <w:color w:val="auto"/>
          <w:sz w:val="22"/>
          <w:szCs w:val="22"/>
          <w:lang w:val="en-GB"/>
        </w:rPr>
      </w:pPr>
    </w:p>
    <w:p w14:paraId="6E44405C" w14:textId="77777777" w:rsidR="00E56DA6" w:rsidRPr="001F791F" w:rsidRDefault="00E56DA6" w:rsidP="00661089">
      <w:pPr>
        <w:pStyle w:val="Default"/>
        <w:jc w:val="both"/>
        <w:rPr>
          <w:rFonts w:asciiTheme="majorBidi" w:hAnsiTheme="majorBidi" w:cstheme="majorBidi"/>
          <w:color w:val="auto"/>
          <w:sz w:val="22"/>
          <w:szCs w:val="22"/>
          <w:lang w:val="en-GB"/>
        </w:rPr>
      </w:pPr>
    </w:p>
    <w:p w14:paraId="207152AC" w14:textId="19124461" w:rsidR="00E56DA6" w:rsidRPr="001F791F" w:rsidRDefault="00E56DA6" w:rsidP="00661089">
      <w:pPr>
        <w:spacing w:after="0" w:line="240" w:lineRule="auto"/>
        <w:jc w:val="both"/>
        <w:rPr>
          <w:rFonts w:asciiTheme="majorBidi" w:hAnsiTheme="majorBidi" w:cstheme="majorBidi"/>
          <w:sz w:val="22"/>
          <w:szCs w:val="22"/>
          <w:lang w:val="en-GB"/>
        </w:rPr>
      </w:pPr>
      <w:r w:rsidRPr="001F791F">
        <w:rPr>
          <w:rFonts w:asciiTheme="majorBidi" w:hAnsiTheme="majorBidi" w:cstheme="majorBidi"/>
          <w:sz w:val="22"/>
          <w:szCs w:val="22"/>
          <w:lang w:val="en-GB"/>
        </w:rPr>
        <w:t xml:space="preserve">Question 24: Do you think the guidelines should provide a common format for the plans required by the CRD? What structure </w:t>
      </w:r>
      <w:proofErr w:type="spellStart"/>
      <w:r w:rsidRPr="001F791F">
        <w:rPr>
          <w:rFonts w:asciiTheme="majorBidi" w:hAnsiTheme="majorBidi" w:cstheme="majorBidi"/>
          <w:sz w:val="22"/>
          <w:szCs w:val="22"/>
          <w:lang w:val="en-GB"/>
        </w:rPr>
        <w:t>andtool</w:t>
      </w:r>
      <w:proofErr w:type="spellEnd"/>
      <w:r w:rsidRPr="001F791F">
        <w:rPr>
          <w:rFonts w:asciiTheme="majorBidi" w:hAnsiTheme="majorBidi" w:cstheme="majorBidi"/>
          <w:sz w:val="22"/>
          <w:szCs w:val="22"/>
          <w:lang w:val="en-GB"/>
        </w:rPr>
        <w:t>, e.g. template, outline, or other, should be considered for such common format? What key aspects should be considered to ensure interoperability with other (e.g. CSRD) requirements?</w:t>
      </w:r>
    </w:p>
    <w:p w14:paraId="51E7CA96" w14:textId="77777777" w:rsidR="00D96F3E" w:rsidRPr="001F791F" w:rsidRDefault="00D96F3E" w:rsidP="00661089">
      <w:pPr>
        <w:spacing w:after="0" w:line="240" w:lineRule="auto"/>
        <w:jc w:val="both"/>
        <w:rPr>
          <w:rFonts w:asciiTheme="majorBidi" w:hAnsiTheme="majorBidi" w:cstheme="majorBidi"/>
          <w:sz w:val="22"/>
          <w:szCs w:val="22"/>
          <w:lang w:val="en-GB"/>
        </w:rPr>
      </w:pPr>
    </w:p>
    <w:p w14:paraId="5CEDD0E0" w14:textId="77777777" w:rsidR="00D96F3E" w:rsidRPr="00AE6227" w:rsidRDefault="00D96F3E" w:rsidP="00661089">
      <w:pPr>
        <w:spacing w:after="0" w:line="240" w:lineRule="auto"/>
        <w:jc w:val="both"/>
        <w:rPr>
          <w:rFonts w:asciiTheme="majorBidi" w:hAnsiTheme="majorBidi" w:cstheme="majorBidi"/>
          <w:sz w:val="22"/>
          <w:szCs w:val="22"/>
          <w:lang w:val="en-GB"/>
        </w:rPr>
      </w:pPr>
    </w:p>
    <w:p w14:paraId="181C3EA8" w14:textId="34D9F2D4" w:rsidR="00D96F3E" w:rsidRPr="001F791F" w:rsidRDefault="00D96F3E" w:rsidP="00661089">
      <w:pPr>
        <w:spacing w:after="0" w:line="240" w:lineRule="auto"/>
        <w:jc w:val="both"/>
        <w:rPr>
          <w:rFonts w:asciiTheme="majorBidi" w:hAnsiTheme="majorBidi" w:cstheme="majorBidi"/>
          <w:sz w:val="22"/>
          <w:szCs w:val="22"/>
          <w:lang w:val="en-GB"/>
        </w:rPr>
      </w:pPr>
      <w:r w:rsidRPr="001F791F">
        <w:rPr>
          <w:rFonts w:asciiTheme="majorBidi" w:hAnsiTheme="majorBidi" w:cstheme="majorBidi"/>
          <w:sz w:val="22"/>
          <w:szCs w:val="22"/>
          <w:lang w:val="en-GB"/>
        </w:rPr>
        <w:t>Question 25 : Where applicable and if not covered in your previous answers, please describe the main challenges you identify for th</w:t>
      </w:r>
      <w:r w:rsidR="00802F5E" w:rsidRPr="001F791F">
        <w:rPr>
          <w:rFonts w:asciiTheme="majorBidi" w:hAnsiTheme="majorBidi" w:cstheme="majorBidi"/>
          <w:sz w:val="22"/>
          <w:szCs w:val="22"/>
          <w:lang w:val="en-GB"/>
        </w:rPr>
        <w:t>e</w:t>
      </w:r>
      <w:r w:rsidRPr="001F791F">
        <w:rPr>
          <w:rFonts w:asciiTheme="majorBidi" w:hAnsiTheme="majorBidi" w:cstheme="majorBidi"/>
          <w:sz w:val="22"/>
          <w:szCs w:val="22"/>
          <w:lang w:val="en-GB"/>
        </w:rPr>
        <w:t xml:space="preserve">  implementation of these guidelines, and what changes or clarifications</w:t>
      </w:r>
      <w:r w:rsidR="00802F5E" w:rsidRPr="001F791F">
        <w:rPr>
          <w:rFonts w:asciiTheme="majorBidi" w:hAnsiTheme="majorBidi" w:cstheme="majorBidi"/>
          <w:sz w:val="22"/>
          <w:szCs w:val="22"/>
          <w:lang w:val="en-GB"/>
        </w:rPr>
        <w:t xml:space="preserve"> would help you to implement them</w:t>
      </w:r>
    </w:p>
    <w:p w14:paraId="0AEB75E9" w14:textId="77777777" w:rsidR="00802F5E" w:rsidRPr="001F791F" w:rsidRDefault="00802F5E" w:rsidP="00661089">
      <w:pPr>
        <w:spacing w:after="0" w:line="240" w:lineRule="auto"/>
        <w:jc w:val="both"/>
        <w:rPr>
          <w:rFonts w:asciiTheme="majorBidi" w:hAnsiTheme="majorBidi" w:cstheme="majorBidi"/>
          <w:sz w:val="22"/>
          <w:szCs w:val="22"/>
          <w:lang w:val="en-GB"/>
        </w:rPr>
      </w:pPr>
    </w:p>
    <w:p w14:paraId="42959CF7" w14:textId="77777777" w:rsidR="00802F5E" w:rsidRPr="001F791F" w:rsidRDefault="00802F5E" w:rsidP="00661089">
      <w:pPr>
        <w:spacing w:after="0" w:line="240" w:lineRule="auto"/>
        <w:jc w:val="both"/>
        <w:rPr>
          <w:rFonts w:asciiTheme="majorBidi" w:hAnsiTheme="majorBidi" w:cstheme="majorBidi"/>
          <w:sz w:val="22"/>
          <w:szCs w:val="22"/>
          <w:lang w:val="en-GB"/>
        </w:rPr>
      </w:pPr>
    </w:p>
    <w:p w14:paraId="02443CA1" w14:textId="088E005E" w:rsidR="00802F5E" w:rsidRPr="001F791F" w:rsidRDefault="00802F5E" w:rsidP="00661089">
      <w:pPr>
        <w:spacing w:after="0" w:line="240" w:lineRule="auto"/>
        <w:jc w:val="both"/>
        <w:rPr>
          <w:rFonts w:asciiTheme="majorBidi" w:hAnsiTheme="majorBidi" w:cstheme="majorBidi"/>
          <w:b/>
          <w:bCs/>
          <w:sz w:val="22"/>
          <w:szCs w:val="22"/>
          <w:lang w:val="en-GB"/>
        </w:rPr>
      </w:pPr>
      <w:r w:rsidRPr="001F791F">
        <w:rPr>
          <w:rFonts w:asciiTheme="majorBidi" w:hAnsiTheme="majorBidi" w:cstheme="majorBidi"/>
          <w:b/>
          <w:bCs/>
          <w:sz w:val="22"/>
          <w:szCs w:val="22"/>
          <w:lang w:val="en-GB"/>
        </w:rPr>
        <w:t>Question 26 : Do you have other comments on the draft guidelines ?</w:t>
      </w:r>
    </w:p>
    <w:p w14:paraId="53019D99" w14:textId="77777777" w:rsidR="00802F5E" w:rsidRPr="001F791F" w:rsidRDefault="00802F5E" w:rsidP="00661089">
      <w:pPr>
        <w:spacing w:after="0" w:line="240" w:lineRule="auto"/>
        <w:jc w:val="both"/>
        <w:rPr>
          <w:rFonts w:asciiTheme="majorBidi" w:hAnsiTheme="majorBidi" w:cstheme="majorBidi"/>
          <w:sz w:val="22"/>
          <w:szCs w:val="22"/>
          <w:lang w:val="en-GB"/>
        </w:rPr>
      </w:pPr>
    </w:p>
    <w:p w14:paraId="725186E7" w14:textId="6F8EA77C" w:rsidR="00F660B6" w:rsidRPr="001F791F" w:rsidRDefault="00CF2684" w:rsidP="00E24B08">
      <w:pPr>
        <w:spacing w:after="0" w:line="240" w:lineRule="auto"/>
        <w:jc w:val="both"/>
        <w:rPr>
          <w:rFonts w:asciiTheme="majorBidi" w:hAnsiTheme="majorBidi" w:cstheme="majorBidi"/>
          <w:sz w:val="22"/>
          <w:szCs w:val="22"/>
          <w:lang w:val="en-GB"/>
        </w:rPr>
      </w:pPr>
      <w:r>
        <w:rPr>
          <w:rFonts w:asciiTheme="majorBidi" w:hAnsiTheme="majorBidi" w:cstheme="majorBidi"/>
          <w:sz w:val="22"/>
          <w:szCs w:val="22"/>
          <w:lang w:val="en-GB"/>
        </w:rPr>
        <w:t>A number of f</w:t>
      </w:r>
      <w:r w:rsidR="00C761F1" w:rsidRPr="001F791F">
        <w:rPr>
          <w:rFonts w:asciiTheme="majorBidi" w:hAnsiTheme="majorBidi" w:cstheme="majorBidi"/>
          <w:sz w:val="22"/>
          <w:szCs w:val="22"/>
          <w:lang w:val="en-GB"/>
        </w:rPr>
        <w:t>actor</w:t>
      </w:r>
      <w:r>
        <w:rPr>
          <w:rFonts w:asciiTheme="majorBidi" w:hAnsiTheme="majorBidi" w:cstheme="majorBidi"/>
          <w:sz w:val="22"/>
          <w:szCs w:val="22"/>
          <w:lang w:val="en-GB"/>
        </w:rPr>
        <w:t>ing companies</w:t>
      </w:r>
      <w:r w:rsidR="00C761F1" w:rsidRPr="001F791F">
        <w:rPr>
          <w:rFonts w:asciiTheme="majorBidi" w:hAnsiTheme="majorBidi" w:cstheme="majorBidi"/>
          <w:sz w:val="22"/>
          <w:szCs w:val="22"/>
          <w:lang w:val="en-GB"/>
        </w:rPr>
        <w:t xml:space="preserve"> are </w:t>
      </w:r>
      <w:r>
        <w:rPr>
          <w:rFonts w:asciiTheme="majorBidi" w:hAnsiTheme="majorBidi" w:cstheme="majorBidi"/>
          <w:sz w:val="22"/>
          <w:szCs w:val="22"/>
          <w:lang w:val="en-GB"/>
        </w:rPr>
        <w:t xml:space="preserve">already </w:t>
      </w:r>
      <w:r w:rsidR="00C761F1" w:rsidRPr="001F791F">
        <w:rPr>
          <w:rFonts w:asciiTheme="majorBidi" w:hAnsiTheme="majorBidi" w:cstheme="majorBidi"/>
          <w:sz w:val="22"/>
          <w:szCs w:val="22"/>
          <w:lang w:val="en-GB"/>
        </w:rPr>
        <w:t>a</w:t>
      </w:r>
      <w:r w:rsidR="00661089" w:rsidRPr="001F791F">
        <w:rPr>
          <w:rFonts w:asciiTheme="majorBidi" w:hAnsiTheme="majorBidi" w:cstheme="majorBidi"/>
          <w:sz w:val="22"/>
          <w:szCs w:val="22"/>
          <w:lang w:val="en-GB"/>
        </w:rPr>
        <w:t>gile</w:t>
      </w:r>
      <w:r w:rsidR="00C761F1" w:rsidRPr="001F791F">
        <w:rPr>
          <w:rFonts w:asciiTheme="majorBidi" w:hAnsiTheme="majorBidi" w:cstheme="majorBidi"/>
          <w:sz w:val="22"/>
          <w:szCs w:val="22"/>
          <w:lang w:val="en-GB"/>
        </w:rPr>
        <w:t xml:space="preserve"> and</w:t>
      </w:r>
      <w:r w:rsidR="00661089" w:rsidRPr="001F791F">
        <w:rPr>
          <w:rFonts w:asciiTheme="majorBidi" w:hAnsiTheme="majorBidi" w:cstheme="majorBidi"/>
          <w:sz w:val="22"/>
          <w:szCs w:val="22"/>
          <w:lang w:val="en-GB"/>
        </w:rPr>
        <w:t xml:space="preserve"> responsive </w:t>
      </w:r>
      <w:r w:rsidR="00530C0D" w:rsidRPr="001F791F">
        <w:rPr>
          <w:rFonts w:asciiTheme="majorBidi" w:hAnsiTheme="majorBidi" w:cstheme="majorBidi"/>
          <w:sz w:val="22"/>
          <w:szCs w:val="22"/>
          <w:lang w:val="en-GB"/>
        </w:rPr>
        <w:t>on ESG</w:t>
      </w:r>
      <w:r w:rsidR="00661089" w:rsidRPr="001F791F">
        <w:rPr>
          <w:rFonts w:asciiTheme="majorBidi" w:hAnsiTheme="majorBidi" w:cstheme="majorBidi"/>
          <w:sz w:val="22"/>
          <w:szCs w:val="22"/>
          <w:lang w:val="en-GB"/>
        </w:rPr>
        <w:t xml:space="preserve"> </w:t>
      </w:r>
      <w:r>
        <w:rPr>
          <w:rFonts w:asciiTheme="majorBidi" w:hAnsiTheme="majorBidi" w:cstheme="majorBidi"/>
          <w:sz w:val="22"/>
          <w:szCs w:val="22"/>
          <w:lang w:val="en-GB"/>
        </w:rPr>
        <w:t>related developments and products</w:t>
      </w:r>
      <w:r w:rsidRPr="001F791F">
        <w:rPr>
          <w:rFonts w:asciiTheme="majorBidi" w:hAnsiTheme="majorBidi" w:cstheme="majorBidi"/>
          <w:sz w:val="22"/>
          <w:szCs w:val="22"/>
          <w:lang w:val="en-GB"/>
        </w:rPr>
        <w:t xml:space="preserve"> </w:t>
      </w:r>
      <w:r w:rsidR="00A71759" w:rsidRPr="001F791F">
        <w:rPr>
          <w:rFonts w:asciiTheme="majorBidi" w:hAnsiTheme="majorBidi" w:cstheme="majorBidi"/>
          <w:sz w:val="22"/>
          <w:szCs w:val="22"/>
          <w:lang w:val="en-GB"/>
        </w:rPr>
        <w:t>:</w:t>
      </w:r>
      <w:r w:rsidR="00661089" w:rsidRPr="001F791F">
        <w:rPr>
          <w:rFonts w:asciiTheme="majorBidi" w:hAnsiTheme="majorBidi" w:cstheme="majorBidi"/>
          <w:sz w:val="22"/>
          <w:szCs w:val="22"/>
          <w:lang w:val="en-GB"/>
        </w:rPr>
        <w:t xml:space="preserve"> they are talking to their customers about </w:t>
      </w:r>
      <w:r w:rsidR="00A71759" w:rsidRPr="001F791F">
        <w:rPr>
          <w:rFonts w:asciiTheme="majorBidi" w:hAnsiTheme="majorBidi" w:cstheme="majorBidi"/>
          <w:sz w:val="22"/>
          <w:szCs w:val="22"/>
          <w:lang w:val="en-GB"/>
        </w:rPr>
        <w:t>them and</w:t>
      </w:r>
      <w:r w:rsidR="00661089" w:rsidRPr="001F791F">
        <w:rPr>
          <w:rFonts w:asciiTheme="majorBidi" w:hAnsiTheme="majorBidi" w:cstheme="majorBidi"/>
          <w:sz w:val="22"/>
          <w:szCs w:val="22"/>
          <w:lang w:val="en-GB"/>
        </w:rPr>
        <w:t xml:space="preserve"> they have trained in-house experts</w:t>
      </w:r>
      <w:r>
        <w:rPr>
          <w:rFonts w:asciiTheme="majorBidi" w:hAnsiTheme="majorBidi" w:cstheme="majorBidi"/>
          <w:sz w:val="22"/>
          <w:szCs w:val="22"/>
          <w:lang w:val="en-GB"/>
        </w:rPr>
        <w:t xml:space="preserve"> and are assessing sustainability related risks which affect their form of financing</w:t>
      </w:r>
      <w:r w:rsidR="00661089" w:rsidRPr="001F791F">
        <w:rPr>
          <w:rFonts w:asciiTheme="majorBidi" w:hAnsiTheme="majorBidi" w:cstheme="majorBidi"/>
          <w:sz w:val="22"/>
          <w:szCs w:val="22"/>
          <w:lang w:val="en-GB"/>
        </w:rPr>
        <w:t>.</w:t>
      </w:r>
    </w:p>
    <w:p w14:paraId="500CAD88" w14:textId="5683780D" w:rsidR="000301EA" w:rsidRPr="001F791F" w:rsidRDefault="00F660B6" w:rsidP="00E24B08">
      <w:pPr>
        <w:spacing w:after="0" w:line="240" w:lineRule="auto"/>
        <w:jc w:val="both"/>
        <w:rPr>
          <w:rFonts w:asciiTheme="majorBidi" w:hAnsiTheme="majorBidi" w:cstheme="majorBidi"/>
          <w:sz w:val="22"/>
          <w:szCs w:val="22"/>
          <w:lang w:val="en-GB"/>
        </w:rPr>
      </w:pPr>
      <w:r w:rsidRPr="001F791F">
        <w:rPr>
          <w:rFonts w:asciiTheme="majorBidi" w:hAnsiTheme="majorBidi" w:cstheme="majorBidi"/>
          <w:sz w:val="22"/>
          <w:szCs w:val="22"/>
          <w:lang w:val="en-GB"/>
        </w:rPr>
        <w:t>They have identified a</w:t>
      </w:r>
      <w:r w:rsidR="00661089" w:rsidRPr="001F791F">
        <w:rPr>
          <w:rFonts w:asciiTheme="majorBidi" w:hAnsiTheme="majorBidi" w:cstheme="majorBidi"/>
          <w:sz w:val="22"/>
          <w:szCs w:val="22"/>
          <w:lang w:val="en-GB"/>
        </w:rPr>
        <w:t xml:space="preserve"> positive reaction from the markets: customers spontaneously ask what can be done in terms of ESG.</w:t>
      </w:r>
    </w:p>
    <w:p w14:paraId="6F3FBACF" w14:textId="77777777" w:rsidR="000301EA" w:rsidRPr="001F791F" w:rsidRDefault="000301EA" w:rsidP="00E24B08">
      <w:pPr>
        <w:spacing w:after="0" w:line="240" w:lineRule="auto"/>
        <w:jc w:val="both"/>
        <w:rPr>
          <w:rFonts w:asciiTheme="majorBidi" w:hAnsiTheme="majorBidi" w:cstheme="majorBidi"/>
          <w:sz w:val="22"/>
          <w:szCs w:val="22"/>
          <w:lang w:val="en-GB"/>
        </w:rPr>
      </w:pPr>
    </w:p>
    <w:p w14:paraId="18C26306" w14:textId="77777777" w:rsidR="00B238A3" w:rsidRPr="001F791F" w:rsidRDefault="00B238A3" w:rsidP="00E24B08">
      <w:pPr>
        <w:spacing w:after="0" w:line="240" w:lineRule="auto"/>
        <w:jc w:val="both"/>
        <w:rPr>
          <w:rFonts w:asciiTheme="majorBidi" w:hAnsiTheme="majorBidi" w:cstheme="majorBidi"/>
          <w:sz w:val="22"/>
          <w:szCs w:val="22"/>
          <w:lang w:val="en-GB"/>
        </w:rPr>
      </w:pPr>
    </w:p>
    <w:p w14:paraId="2754C8F3" w14:textId="7B56F9B6" w:rsidR="00B4611B" w:rsidRPr="001F791F" w:rsidRDefault="00CF2684" w:rsidP="00E24B08">
      <w:pPr>
        <w:spacing w:after="0" w:line="240" w:lineRule="auto"/>
        <w:jc w:val="both"/>
        <w:rPr>
          <w:rFonts w:asciiTheme="majorBidi" w:hAnsiTheme="majorBidi" w:cstheme="majorBidi"/>
          <w:sz w:val="22"/>
          <w:szCs w:val="22"/>
          <w:lang w:val="en-GB"/>
        </w:rPr>
      </w:pPr>
      <w:r>
        <w:rPr>
          <w:rFonts w:asciiTheme="majorBidi" w:hAnsiTheme="majorBidi" w:cstheme="majorBidi"/>
          <w:sz w:val="22"/>
          <w:szCs w:val="22"/>
          <w:lang w:val="en-GB"/>
        </w:rPr>
        <w:t>However, e</w:t>
      </w:r>
      <w:r w:rsidR="00D675B3" w:rsidRPr="001F791F">
        <w:rPr>
          <w:rFonts w:asciiTheme="majorBidi" w:hAnsiTheme="majorBidi" w:cstheme="majorBidi"/>
          <w:sz w:val="22"/>
          <w:szCs w:val="22"/>
          <w:lang w:val="en-GB"/>
        </w:rPr>
        <w:t xml:space="preserve">ven </w:t>
      </w:r>
      <w:r>
        <w:rPr>
          <w:rFonts w:asciiTheme="majorBidi" w:hAnsiTheme="majorBidi" w:cstheme="majorBidi"/>
          <w:sz w:val="22"/>
          <w:szCs w:val="22"/>
          <w:lang w:val="en-GB"/>
        </w:rPr>
        <w:t>though</w:t>
      </w:r>
      <w:r w:rsidR="00D675B3" w:rsidRPr="001F791F">
        <w:rPr>
          <w:rFonts w:asciiTheme="majorBidi" w:hAnsiTheme="majorBidi" w:cstheme="majorBidi"/>
          <w:sz w:val="22"/>
          <w:szCs w:val="22"/>
          <w:lang w:val="en-GB"/>
        </w:rPr>
        <w:t xml:space="preserve"> </w:t>
      </w:r>
      <w:r w:rsidR="00661089" w:rsidRPr="001F791F">
        <w:rPr>
          <w:rFonts w:asciiTheme="majorBidi" w:hAnsiTheme="majorBidi" w:cstheme="majorBidi"/>
          <w:sz w:val="22"/>
          <w:szCs w:val="22"/>
          <w:lang w:val="en-GB"/>
        </w:rPr>
        <w:t xml:space="preserve">the financial sector has clearly identified the sectors that </w:t>
      </w:r>
      <w:r>
        <w:rPr>
          <w:rFonts w:asciiTheme="majorBidi" w:hAnsiTheme="majorBidi" w:cstheme="majorBidi"/>
          <w:sz w:val="22"/>
          <w:szCs w:val="22"/>
          <w:lang w:val="en-GB"/>
        </w:rPr>
        <w:t xml:space="preserve">still </w:t>
      </w:r>
      <w:r w:rsidR="00661089" w:rsidRPr="001F791F">
        <w:rPr>
          <w:rFonts w:asciiTheme="majorBidi" w:hAnsiTheme="majorBidi" w:cstheme="majorBidi"/>
          <w:sz w:val="22"/>
          <w:szCs w:val="22"/>
          <w:lang w:val="en-GB"/>
        </w:rPr>
        <w:t xml:space="preserve">have the greatest transition </w:t>
      </w:r>
      <w:r>
        <w:rPr>
          <w:rFonts w:asciiTheme="majorBidi" w:hAnsiTheme="majorBidi" w:cstheme="majorBidi"/>
          <w:sz w:val="22"/>
          <w:szCs w:val="22"/>
          <w:lang w:val="en-GB"/>
        </w:rPr>
        <w:t>or</w:t>
      </w:r>
      <w:r w:rsidR="00661089" w:rsidRPr="001F791F">
        <w:rPr>
          <w:rFonts w:asciiTheme="majorBidi" w:hAnsiTheme="majorBidi" w:cstheme="majorBidi"/>
          <w:sz w:val="22"/>
          <w:szCs w:val="22"/>
          <w:lang w:val="en-GB"/>
        </w:rPr>
        <w:t xml:space="preserve"> the most effort to make </w:t>
      </w:r>
      <w:r>
        <w:rPr>
          <w:rFonts w:asciiTheme="majorBidi" w:hAnsiTheme="majorBidi" w:cstheme="majorBidi"/>
          <w:sz w:val="22"/>
          <w:szCs w:val="22"/>
          <w:lang w:val="en-GB"/>
        </w:rPr>
        <w:t xml:space="preserve">and are willing to take these on </w:t>
      </w:r>
      <w:r w:rsidR="00661089" w:rsidRPr="001F791F">
        <w:rPr>
          <w:rFonts w:asciiTheme="majorBidi" w:hAnsiTheme="majorBidi" w:cstheme="majorBidi"/>
          <w:sz w:val="22"/>
          <w:szCs w:val="22"/>
          <w:lang w:val="en-GB"/>
        </w:rPr>
        <w:t>(and not just in the area of climate change)</w:t>
      </w:r>
      <w:r w:rsidR="00B4611B" w:rsidRPr="001F791F">
        <w:rPr>
          <w:rFonts w:asciiTheme="majorBidi" w:hAnsiTheme="majorBidi" w:cstheme="majorBidi"/>
          <w:sz w:val="22"/>
          <w:szCs w:val="22"/>
          <w:lang w:val="en-GB"/>
        </w:rPr>
        <w:t>, the real economy is still at the beginning of its transition</w:t>
      </w:r>
      <w:r>
        <w:rPr>
          <w:rFonts w:asciiTheme="majorBidi" w:hAnsiTheme="majorBidi" w:cstheme="majorBidi"/>
          <w:sz w:val="22"/>
          <w:szCs w:val="22"/>
          <w:lang w:val="en-GB"/>
        </w:rPr>
        <w:t>ing process</w:t>
      </w:r>
      <w:r w:rsidR="00B4611B" w:rsidRPr="001F791F">
        <w:rPr>
          <w:rFonts w:asciiTheme="majorBidi" w:hAnsiTheme="majorBidi" w:cstheme="majorBidi"/>
          <w:sz w:val="22"/>
          <w:szCs w:val="22"/>
          <w:lang w:val="en-GB"/>
        </w:rPr>
        <w:t>.</w:t>
      </w:r>
      <w:r>
        <w:rPr>
          <w:rFonts w:asciiTheme="majorBidi" w:hAnsiTheme="majorBidi" w:cstheme="majorBidi"/>
          <w:sz w:val="22"/>
          <w:szCs w:val="22"/>
          <w:lang w:val="en-GB"/>
        </w:rPr>
        <w:t xml:space="preserve"> Hence, ESG transition also in the financial sector remains a challenge, most likely over several years to come. This needs to be taken into consideration when drafting prudential or supervisory requirements regarding ESG risks.</w:t>
      </w:r>
    </w:p>
    <w:p w14:paraId="37A851E1" w14:textId="7AADC992" w:rsidR="00661089" w:rsidRPr="00FA4216" w:rsidRDefault="00661089" w:rsidP="00661089">
      <w:pPr>
        <w:spacing w:after="0" w:line="240" w:lineRule="auto"/>
        <w:rPr>
          <w:rFonts w:asciiTheme="majorBidi" w:hAnsiTheme="majorBidi" w:cstheme="majorBidi"/>
          <w:sz w:val="22"/>
          <w:szCs w:val="22"/>
          <w:lang w:val="en-GB"/>
        </w:rPr>
      </w:pPr>
    </w:p>
    <w:p w14:paraId="4F5A06E5" w14:textId="77777777" w:rsidR="00661089" w:rsidRPr="00FA4216" w:rsidRDefault="00661089" w:rsidP="00661089">
      <w:pPr>
        <w:spacing w:after="0" w:line="240" w:lineRule="auto"/>
        <w:rPr>
          <w:rFonts w:asciiTheme="majorBidi" w:hAnsiTheme="majorBidi" w:cstheme="majorBidi"/>
          <w:sz w:val="22"/>
          <w:szCs w:val="22"/>
          <w:lang w:val="en-GB"/>
        </w:rPr>
      </w:pPr>
    </w:p>
    <w:p w14:paraId="1CD29940" w14:textId="51DC017B" w:rsidR="003B6162" w:rsidRPr="00AE6227" w:rsidRDefault="00D8450A" w:rsidP="00D8450A">
      <w:pPr>
        <w:spacing w:after="0" w:line="240" w:lineRule="auto"/>
        <w:jc w:val="right"/>
        <w:rPr>
          <w:rFonts w:asciiTheme="majorBidi" w:hAnsiTheme="majorBidi" w:cstheme="majorBidi"/>
          <w:sz w:val="22"/>
          <w:szCs w:val="22"/>
          <w:lang w:val="en-GB"/>
        </w:rPr>
      </w:pPr>
      <w:r>
        <w:rPr>
          <w:rFonts w:asciiTheme="majorBidi" w:hAnsiTheme="majorBidi" w:cstheme="majorBidi"/>
          <w:sz w:val="22"/>
          <w:szCs w:val="22"/>
          <w:lang w:val="en-GB"/>
        </w:rPr>
        <w:t>EUF – 18 04 24</w:t>
      </w:r>
    </w:p>
    <w:sectPr w:rsidR="003B6162" w:rsidRPr="00AE622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9297E" w14:textId="77777777" w:rsidR="00635B37" w:rsidRDefault="00635B37" w:rsidP="001F6532">
      <w:pPr>
        <w:spacing w:after="0" w:line="240" w:lineRule="auto"/>
      </w:pPr>
      <w:r>
        <w:separator/>
      </w:r>
    </w:p>
  </w:endnote>
  <w:endnote w:type="continuationSeparator" w:id="0">
    <w:p w14:paraId="67EF6857" w14:textId="77777777" w:rsidR="00635B37" w:rsidRDefault="00635B37" w:rsidP="001F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1D654" w14:textId="77777777" w:rsidR="00635B37" w:rsidRDefault="00635B37" w:rsidP="001F6532">
      <w:pPr>
        <w:spacing w:after="0" w:line="240" w:lineRule="auto"/>
      </w:pPr>
      <w:r>
        <w:separator/>
      </w:r>
    </w:p>
  </w:footnote>
  <w:footnote w:type="continuationSeparator" w:id="0">
    <w:p w14:paraId="5A840A8B" w14:textId="77777777" w:rsidR="00635B37" w:rsidRDefault="00635B37" w:rsidP="001F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33E9" w14:textId="03DEE70C" w:rsidR="001F6532" w:rsidRDefault="001F6532" w:rsidP="001F6532">
    <w:pPr>
      <w:pStyle w:val="En-tte"/>
    </w:pPr>
    <w:r>
      <w:rPr>
        <w:noProof/>
      </w:rPr>
      <w:drawing>
        <wp:inline distT="0" distB="0" distL="0" distR="0" wp14:anchorId="2C9FF330" wp14:editId="638BC3AE">
          <wp:extent cx="2976880" cy="1169670"/>
          <wp:effectExtent l="0" t="0" r="0" b="0"/>
          <wp:docPr id="154672964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29643" name="Image 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9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A6"/>
    <w:rsid w:val="00004318"/>
    <w:rsid w:val="000301EA"/>
    <w:rsid w:val="0004436D"/>
    <w:rsid w:val="00076624"/>
    <w:rsid w:val="000C05E7"/>
    <w:rsid w:val="000D64F7"/>
    <w:rsid w:val="00111978"/>
    <w:rsid w:val="0011235D"/>
    <w:rsid w:val="00136D7A"/>
    <w:rsid w:val="0017757E"/>
    <w:rsid w:val="001844BF"/>
    <w:rsid w:val="001B44AD"/>
    <w:rsid w:val="001C1A88"/>
    <w:rsid w:val="001F6532"/>
    <w:rsid w:val="001F6A30"/>
    <w:rsid w:val="001F791F"/>
    <w:rsid w:val="00232DC5"/>
    <w:rsid w:val="00262250"/>
    <w:rsid w:val="00262F52"/>
    <w:rsid w:val="002C13DF"/>
    <w:rsid w:val="002D1CA8"/>
    <w:rsid w:val="002D6802"/>
    <w:rsid w:val="002E6044"/>
    <w:rsid w:val="003070F9"/>
    <w:rsid w:val="00362783"/>
    <w:rsid w:val="0037723A"/>
    <w:rsid w:val="003A4CA1"/>
    <w:rsid w:val="003B6162"/>
    <w:rsid w:val="003C1549"/>
    <w:rsid w:val="004902EC"/>
    <w:rsid w:val="004A47D0"/>
    <w:rsid w:val="004E7E66"/>
    <w:rsid w:val="004F43E8"/>
    <w:rsid w:val="005208C2"/>
    <w:rsid w:val="00530C0D"/>
    <w:rsid w:val="00553AE8"/>
    <w:rsid w:val="00591CE4"/>
    <w:rsid w:val="00594589"/>
    <w:rsid w:val="005C6EC4"/>
    <w:rsid w:val="005D6AC9"/>
    <w:rsid w:val="00635B37"/>
    <w:rsid w:val="00661089"/>
    <w:rsid w:val="006857CE"/>
    <w:rsid w:val="006A414A"/>
    <w:rsid w:val="006B717D"/>
    <w:rsid w:val="006D3B3B"/>
    <w:rsid w:val="006F0262"/>
    <w:rsid w:val="007008BE"/>
    <w:rsid w:val="00717818"/>
    <w:rsid w:val="00725BC5"/>
    <w:rsid w:val="00761D0E"/>
    <w:rsid w:val="00761E97"/>
    <w:rsid w:val="00775702"/>
    <w:rsid w:val="007760BA"/>
    <w:rsid w:val="00802F5E"/>
    <w:rsid w:val="00803165"/>
    <w:rsid w:val="00836AA4"/>
    <w:rsid w:val="008569B7"/>
    <w:rsid w:val="00856A90"/>
    <w:rsid w:val="00887D1E"/>
    <w:rsid w:val="008B2C77"/>
    <w:rsid w:val="009055F3"/>
    <w:rsid w:val="00962EAD"/>
    <w:rsid w:val="009810D8"/>
    <w:rsid w:val="00A22939"/>
    <w:rsid w:val="00A60893"/>
    <w:rsid w:val="00A61FDC"/>
    <w:rsid w:val="00A71759"/>
    <w:rsid w:val="00AB5FC0"/>
    <w:rsid w:val="00AE6227"/>
    <w:rsid w:val="00B01054"/>
    <w:rsid w:val="00B224FE"/>
    <w:rsid w:val="00B238A3"/>
    <w:rsid w:val="00B365CA"/>
    <w:rsid w:val="00B428D3"/>
    <w:rsid w:val="00B4611B"/>
    <w:rsid w:val="00B57C02"/>
    <w:rsid w:val="00B84C43"/>
    <w:rsid w:val="00C66B2D"/>
    <w:rsid w:val="00C761F1"/>
    <w:rsid w:val="00CA2912"/>
    <w:rsid w:val="00CF2684"/>
    <w:rsid w:val="00CF696F"/>
    <w:rsid w:val="00D01117"/>
    <w:rsid w:val="00D12C87"/>
    <w:rsid w:val="00D2037A"/>
    <w:rsid w:val="00D27EF6"/>
    <w:rsid w:val="00D519C7"/>
    <w:rsid w:val="00D66ED2"/>
    <w:rsid w:val="00D675B3"/>
    <w:rsid w:val="00D8450A"/>
    <w:rsid w:val="00D96F3E"/>
    <w:rsid w:val="00DA662C"/>
    <w:rsid w:val="00DB66BE"/>
    <w:rsid w:val="00DE059E"/>
    <w:rsid w:val="00E21AA3"/>
    <w:rsid w:val="00E24B08"/>
    <w:rsid w:val="00E34582"/>
    <w:rsid w:val="00E40465"/>
    <w:rsid w:val="00E41132"/>
    <w:rsid w:val="00E56DA6"/>
    <w:rsid w:val="00E63088"/>
    <w:rsid w:val="00E703C3"/>
    <w:rsid w:val="00EA0A86"/>
    <w:rsid w:val="00F34D1D"/>
    <w:rsid w:val="00F56623"/>
    <w:rsid w:val="00F56D60"/>
    <w:rsid w:val="00F660B6"/>
    <w:rsid w:val="00F748E4"/>
    <w:rsid w:val="00F773D2"/>
    <w:rsid w:val="00FA4216"/>
    <w:rsid w:val="00FD6D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D3BE"/>
  <w15:chartTrackingRefBased/>
  <w15:docId w15:val="{AE7A98F2-FF2B-40AB-8777-BA25416A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56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6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6D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6D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56D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6D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6D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6D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6D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6D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6D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6D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6D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6D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6D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6D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6D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6DA6"/>
    <w:rPr>
      <w:rFonts w:eastAsiaTheme="majorEastAsia" w:cstheme="majorBidi"/>
      <w:color w:val="272727" w:themeColor="text1" w:themeTint="D8"/>
    </w:rPr>
  </w:style>
  <w:style w:type="paragraph" w:styleId="Titre">
    <w:name w:val="Title"/>
    <w:basedOn w:val="Normal"/>
    <w:next w:val="Normal"/>
    <w:link w:val="TitreCar"/>
    <w:uiPriority w:val="10"/>
    <w:qFormat/>
    <w:rsid w:val="00E56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6D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6D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6D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6DA6"/>
    <w:pPr>
      <w:spacing w:before="160"/>
      <w:jc w:val="center"/>
    </w:pPr>
    <w:rPr>
      <w:i/>
      <w:iCs/>
      <w:color w:val="404040" w:themeColor="text1" w:themeTint="BF"/>
    </w:rPr>
  </w:style>
  <w:style w:type="character" w:customStyle="1" w:styleId="CitationCar">
    <w:name w:val="Citation Car"/>
    <w:basedOn w:val="Policepardfaut"/>
    <w:link w:val="Citation"/>
    <w:uiPriority w:val="29"/>
    <w:rsid w:val="00E56DA6"/>
    <w:rPr>
      <w:i/>
      <w:iCs/>
      <w:color w:val="404040" w:themeColor="text1" w:themeTint="BF"/>
    </w:rPr>
  </w:style>
  <w:style w:type="paragraph" w:styleId="Paragraphedeliste">
    <w:name w:val="List Paragraph"/>
    <w:basedOn w:val="Normal"/>
    <w:uiPriority w:val="34"/>
    <w:qFormat/>
    <w:rsid w:val="00E56DA6"/>
    <w:pPr>
      <w:ind w:left="720"/>
      <w:contextualSpacing/>
    </w:pPr>
  </w:style>
  <w:style w:type="character" w:styleId="Accentuationintense">
    <w:name w:val="Intense Emphasis"/>
    <w:basedOn w:val="Policepardfaut"/>
    <w:uiPriority w:val="21"/>
    <w:qFormat/>
    <w:rsid w:val="00E56DA6"/>
    <w:rPr>
      <w:i/>
      <w:iCs/>
      <w:color w:val="0F4761" w:themeColor="accent1" w:themeShade="BF"/>
    </w:rPr>
  </w:style>
  <w:style w:type="paragraph" w:styleId="Citationintense">
    <w:name w:val="Intense Quote"/>
    <w:basedOn w:val="Normal"/>
    <w:next w:val="Normal"/>
    <w:link w:val="CitationintenseCar"/>
    <w:uiPriority w:val="30"/>
    <w:qFormat/>
    <w:rsid w:val="00E56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6DA6"/>
    <w:rPr>
      <w:i/>
      <w:iCs/>
      <w:color w:val="0F4761" w:themeColor="accent1" w:themeShade="BF"/>
    </w:rPr>
  </w:style>
  <w:style w:type="character" w:styleId="Rfrenceintense">
    <w:name w:val="Intense Reference"/>
    <w:basedOn w:val="Policepardfaut"/>
    <w:uiPriority w:val="32"/>
    <w:qFormat/>
    <w:rsid w:val="00E56DA6"/>
    <w:rPr>
      <w:b/>
      <w:bCs/>
      <w:smallCaps/>
      <w:color w:val="0F4761" w:themeColor="accent1" w:themeShade="BF"/>
      <w:spacing w:val="5"/>
    </w:rPr>
  </w:style>
  <w:style w:type="paragraph" w:customStyle="1" w:styleId="Default">
    <w:name w:val="Default"/>
    <w:rsid w:val="00E56DA6"/>
    <w:pPr>
      <w:autoSpaceDE w:val="0"/>
      <w:autoSpaceDN w:val="0"/>
      <w:adjustRightInd w:val="0"/>
      <w:spacing w:after="0" w:line="240" w:lineRule="auto"/>
    </w:pPr>
    <w:rPr>
      <w:rFonts w:ascii="Calibri" w:hAnsi="Calibri" w:cs="Calibri"/>
      <w:color w:val="000000"/>
      <w:kern w:val="0"/>
    </w:rPr>
  </w:style>
  <w:style w:type="character" w:styleId="Marquedecommentaire">
    <w:name w:val="annotation reference"/>
    <w:basedOn w:val="Policepardfaut"/>
    <w:uiPriority w:val="99"/>
    <w:semiHidden/>
    <w:unhideWhenUsed/>
    <w:rsid w:val="00D66ED2"/>
    <w:rPr>
      <w:sz w:val="16"/>
      <w:szCs w:val="16"/>
    </w:rPr>
  </w:style>
  <w:style w:type="paragraph" w:styleId="Commentaire">
    <w:name w:val="annotation text"/>
    <w:basedOn w:val="Normal"/>
    <w:link w:val="CommentaireCar"/>
    <w:uiPriority w:val="99"/>
    <w:unhideWhenUsed/>
    <w:rsid w:val="00D66ED2"/>
    <w:pPr>
      <w:spacing w:line="240" w:lineRule="auto"/>
    </w:pPr>
    <w:rPr>
      <w:sz w:val="20"/>
      <w:szCs w:val="20"/>
    </w:rPr>
  </w:style>
  <w:style w:type="character" w:customStyle="1" w:styleId="CommentaireCar">
    <w:name w:val="Commentaire Car"/>
    <w:basedOn w:val="Policepardfaut"/>
    <w:link w:val="Commentaire"/>
    <w:uiPriority w:val="99"/>
    <w:rsid w:val="00D66ED2"/>
    <w:rPr>
      <w:sz w:val="20"/>
      <w:szCs w:val="20"/>
    </w:rPr>
  </w:style>
  <w:style w:type="paragraph" w:styleId="Objetducommentaire">
    <w:name w:val="annotation subject"/>
    <w:basedOn w:val="Commentaire"/>
    <w:next w:val="Commentaire"/>
    <w:link w:val="ObjetducommentaireCar"/>
    <w:uiPriority w:val="99"/>
    <w:semiHidden/>
    <w:unhideWhenUsed/>
    <w:rsid w:val="00D66ED2"/>
    <w:rPr>
      <w:b/>
      <w:bCs/>
    </w:rPr>
  </w:style>
  <w:style w:type="character" w:customStyle="1" w:styleId="ObjetducommentaireCar">
    <w:name w:val="Objet du commentaire Car"/>
    <w:basedOn w:val="CommentaireCar"/>
    <w:link w:val="Objetducommentaire"/>
    <w:uiPriority w:val="99"/>
    <w:semiHidden/>
    <w:rsid w:val="00D66ED2"/>
    <w:rPr>
      <w:b/>
      <w:bCs/>
      <w:sz w:val="20"/>
      <w:szCs w:val="20"/>
    </w:rPr>
  </w:style>
  <w:style w:type="paragraph" w:styleId="Textedebulles">
    <w:name w:val="Balloon Text"/>
    <w:basedOn w:val="Normal"/>
    <w:link w:val="TextedebullesCar"/>
    <w:uiPriority w:val="99"/>
    <w:semiHidden/>
    <w:unhideWhenUsed/>
    <w:rsid w:val="00D66E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6ED2"/>
    <w:rPr>
      <w:rFonts w:ascii="Segoe UI" w:hAnsi="Segoe UI" w:cs="Segoe UI"/>
      <w:sz w:val="18"/>
      <w:szCs w:val="18"/>
    </w:rPr>
  </w:style>
  <w:style w:type="paragraph" w:styleId="Rvision">
    <w:name w:val="Revision"/>
    <w:hidden/>
    <w:uiPriority w:val="99"/>
    <w:semiHidden/>
    <w:rsid w:val="001C1A88"/>
    <w:pPr>
      <w:spacing w:after="0" w:line="240" w:lineRule="auto"/>
    </w:pPr>
  </w:style>
  <w:style w:type="paragraph" w:styleId="En-tte">
    <w:name w:val="header"/>
    <w:basedOn w:val="Normal"/>
    <w:link w:val="En-tteCar"/>
    <w:uiPriority w:val="99"/>
    <w:unhideWhenUsed/>
    <w:rsid w:val="001F6532"/>
    <w:pPr>
      <w:tabs>
        <w:tab w:val="center" w:pos="4536"/>
        <w:tab w:val="right" w:pos="9072"/>
      </w:tabs>
      <w:spacing w:after="0" w:line="240" w:lineRule="auto"/>
    </w:pPr>
  </w:style>
  <w:style w:type="character" w:customStyle="1" w:styleId="En-tteCar">
    <w:name w:val="En-tête Car"/>
    <w:basedOn w:val="Policepardfaut"/>
    <w:link w:val="En-tte"/>
    <w:uiPriority w:val="99"/>
    <w:rsid w:val="001F6532"/>
  </w:style>
  <w:style w:type="paragraph" w:styleId="Pieddepage">
    <w:name w:val="footer"/>
    <w:basedOn w:val="Normal"/>
    <w:link w:val="PieddepageCar"/>
    <w:uiPriority w:val="99"/>
    <w:unhideWhenUsed/>
    <w:rsid w:val="001F65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92747">
      <w:bodyDiv w:val="1"/>
      <w:marLeft w:val="0"/>
      <w:marRight w:val="0"/>
      <w:marTop w:val="0"/>
      <w:marBottom w:val="0"/>
      <w:divBdr>
        <w:top w:val="none" w:sz="0" w:space="0" w:color="auto"/>
        <w:left w:val="none" w:sz="0" w:space="0" w:color="auto"/>
        <w:bottom w:val="none" w:sz="0" w:space="0" w:color="auto"/>
        <w:right w:val="none" w:sz="0" w:space="0" w:color="auto"/>
      </w:divBdr>
    </w:div>
    <w:div w:id="95036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10123</Characters>
  <Application>Microsoft Office Word</Application>
  <DocSecurity>0</DocSecurity>
  <Lines>84</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de CHABOT</dc:creator>
  <cp:keywords/>
  <dc:description/>
  <cp:lastModifiedBy>Antoine de CHABOT</cp:lastModifiedBy>
  <cp:revision>20</cp:revision>
  <cp:lastPrinted>2024-04-15T12:35:00Z</cp:lastPrinted>
  <dcterms:created xsi:type="dcterms:W3CDTF">2024-04-16T12:25:00Z</dcterms:created>
  <dcterms:modified xsi:type="dcterms:W3CDTF">2024-04-18T08:27:00Z</dcterms:modified>
</cp:coreProperties>
</file>